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1326ED" w14:paraId="761811D4" w14:textId="77777777" w:rsidTr="009C08C1">
        <w:trPr>
          <w:trHeight w:val="2097"/>
        </w:trPr>
        <w:tc>
          <w:tcPr>
            <w:tcW w:w="5000" w:type="pct"/>
          </w:tcPr>
          <w:p w14:paraId="0A8F6A3C" w14:textId="77777777" w:rsidR="009C08C1" w:rsidRPr="00BE2E35" w:rsidRDefault="009C08C1" w:rsidP="009C08C1">
            <w:pPr>
              <w:spacing w:after="0" w:line="240" w:lineRule="auto"/>
              <w:rPr>
                <w:lang w:val="en-US"/>
              </w:rPr>
            </w:pPr>
          </w:p>
          <w:p w14:paraId="3AEB2782" w14:textId="31230195" w:rsidR="009C08C1" w:rsidRPr="00EB7B17" w:rsidRDefault="00D82AA1" w:rsidP="009C08C1">
            <w:pPr>
              <w:pStyle w:val="Articletitle"/>
              <w:spacing w:before="0" w:after="120" w:line="240" w:lineRule="auto"/>
              <w:ind w:left="2835"/>
              <w:rPr>
                <w:rFonts w:ascii="Arial" w:hAnsi="Arial" w:cs="Arial"/>
                <w:sz w:val="28"/>
                <w:szCs w:val="28"/>
              </w:rPr>
            </w:pPr>
            <w:r w:rsidRPr="00D82AA1">
              <w:rPr>
                <w:rFonts w:ascii="Arial" w:hAnsi="Arial" w:cs="Arial"/>
                <w:sz w:val="28"/>
                <w:szCs w:val="28"/>
              </w:rPr>
              <w:t>Unraveling the role of endocytic pathways of endothelial cells in amyloid-β blood-brain barrier clearance in Alzheimer's disease</w:t>
            </w:r>
            <w:r w:rsidR="00256C90">
              <w:rPr>
                <w:rFonts w:ascii="Arial" w:hAnsi="Arial" w:cs="Arial"/>
                <w:noProof/>
                <w:sz w:val="28"/>
                <w:szCs w:val="28"/>
                <w:lang w:val="el-GR" w:eastAsia="el-GR"/>
              </w:rPr>
              <w:drawing>
                <wp:anchor distT="0" distB="0" distL="114300" distR="114300" simplePos="0" relativeHeight="251658240" behindDoc="1" locked="0" layoutInCell="1" allowOverlap="1" wp14:anchorId="1A8B334C" wp14:editId="693BB95B">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p>
          <w:p w14:paraId="6A578A67" w14:textId="46C3205D" w:rsidR="009C08C1" w:rsidRPr="007F1FF3" w:rsidRDefault="00D82AA1" w:rsidP="009C08C1">
            <w:pPr>
              <w:pStyle w:val="Authorname"/>
              <w:spacing w:before="0"/>
              <w:ind w:left="2835"/>
              <w:rPr>
                <w:rFonts w:ascii="Arial" w:hAnsi="Arial" w:cs="Arial"/>
                <w:sz w:val="24"/>
                <w:szCs w:val="24"/>
              </w:rPr>
            </w:pPr>
            <w:r w:rsidRPr="00D82AA1">
              <w:rPr>
                <w:rFonts w:ascii="Arial" w:hAnsi="Arial" w:cs="Arial"/>
                <w:b/>
                <w:bCs/>
                <w:sz w:val="24"/>
                <w:szCs w:val="24"/>
              </w:rPr>
              <w:t xml:space="preserve">Evi Vasili </w:t>
            </w:r>
            <w:r w:rsidRPr="00D82AA1">
              <w:rPr>
                <w:rFonts w:ascii="Arial" w:hAnsi="Arial" w:cs="Arial"/>
                <w:sz w:val="24"/>
                <w:szCs w:val="24"/>
                <w:vertAlign w:val="superscript"/>
              </w:rPr>
              <w:t>1,2</w:t>
            </w:r>
            <w:r w:rsidRPr="00D82AA1">
              <w:rPr>
                <w:rFonts w:ascii="Arial" w:hAnsi="Arial" w:cs="Arial"/>
                <w:sz w:val="24"/>
                <w:szCs w:val="24"/>
              </w:rPr>
              <w:t>,</w:t>
            </w:r>
            <w:r w:rsidRPr="00D82AA1">
              <w:rPr>
                <w:rFonts w:ascii="Arial" w:hAnsi="Arial" w:cs="Arial"/>
                <w:b/>
                <w:bCs/>
                <w:sz w:val="24"/>
                <w:szCs w:val="24"/>
              </w:rPr>
              <w:t xml:space="preserve"> Martha </w:t>
            </w:r>
            <w:proofErr w:type="spellStart"/>
            <w:r w:rsidRPr="00D82AA1">
              <w:rPr>
                <w:rFonts w:ascii="Arial" w:hAnsi="Arial" w:cs="Arial"/>
                <w:b/>
                <w:bCs/>
                <w:sz w:val="24"/>
                <w:szCs w:val="24"/>
              </w:rPr>
              <w:t>Kontostathi</w:t>
            </w:r>
            <w:proofErr w:type="spellEnd"/>
            <w:r w:rsidRPr="00D82AA1">
              <w:rPr>
                <w:rFonts w:ascii="Arial" w:hAnsi="Arial" w:cs="Arial"/>
                <w:b/>
                <w:bCs/>
                <w:sz w:val="24"/>
                <w:szCs w:val="24"/>
              </w:rPr>
              <w:t xml:space="preserve"> </w:t>
            </w:r>
            <w:r w:rsidRPr="00D82AA1">
              <w:rPr>
                <w:rFonts w:ascii="Arial" w:hAnsi="Arial" w:cs="Arial"/>
                <w:sz w:val="24"/>
                <w:szCs w:val="24"/>
                <w:vertAlign w:val="superscript"/>
              </w:rPr>
              <w:t>1,</w:t>
            </w:r>
            <w:proofErr w:type="gramStart"/>
            <w:r w:rsidRPr="00D82AA1">
              <w:rPr>
                <w:rFonts w:ascii="Arial" w:hAnsi="Arial" w:cs="Arial"/>
                <w:sz w:val="24"/>
                <w:szCs w:val="24"/>
                <w:vertAlign w:val="superscript"/>
              </w:rPr>
              <w:t>2</w:t>
            </w:r>
            <w:r w:rsidR="001326ED" w:rsidRPr="001326ED">
              <w:rPr>
                <w:rFonts w:ascii="Arial" w:hAnsi="Arial" w:cs="Arial"/>
                <w:sz w:val="24"/>
                <w:szCs w:val="24"/>
                <w:vertAlign w:val="superscript"/>
              </w:rPr>
              <w:t>,</w:t>
            </w:r>
            <w:r w:rsidR="001326ED" w:rsidRPr="00461717">
              <w:rPr>
                <w:rFonts w:ascii="Arial" w:hAnsi="Arial" w:cs="Arial"/>
                <w:b/>
                <w:bCs/>
                <w:color w:val="000000" w:themeColor="text1"/>
                <w:bdr w:val="none" w:sz="0" w:space="0" w:color="auto" w:frame="1"/>
                <w:vertAlign w:val="superscript"/>
                <w:lang w:eastAsia="el-GR"/>
              </w:rPr>
              <w:t>§</w:t>
            </w:r>
            <w:proofErr w:type="gramEnd"/>
            <w:r w:rsidR="001326ED" w:rsidRPr="001326ED">
              <w:rPr>
                <w:rFonts w:ascii="Arial" w:hAnsi="Arial" w:cs="Arial"/>
                <w:b/>
                <w:bCs/>
                <w:color w:val="000000" w:themeColor="text1"/>
                <w:bdr w:val="none" w:sz="0" w:space="0" w:color="auto" w:frame="1"/>
                <w:vertAlign w:val="superscript"/>
                <w:lang w:eastAsia="el-GR"/>
              </w:rPr>
              <w:t>,</w:t>
            </w:r>
            <w:r w:rsidRPr="00D82AA1">
              <w:rPr>
                <w:rFonts w:ascii="Arial" w:hAnsi="Arial" w:cs="Arial"/>
                <w:sz w:val="24"/>
                <w:szCs w:val="24"/>
                <w:vertAlign w:val="superscript"/>
              </w:rPr>
              <w:t>#</w:t>
            </w:r>
            <w:r w:rsidRPr="00D82AA1">
              <w:rPr>
                <w:rFonts w:ascii="Arial" w:hAnsi="Arial" w:cs="Arial"/>
                <w:sz w:val="24"/>
                <w:szCs w:val="24"/>
              </w:rPr>
              <w:t>,</w:t>
            </w:r>
            <w:r w:rsidRPr="00D82AA1">
              <w:rPr>
                <w:rFonts w:ascii="Arial" w:hAnsi="Arial" w:cs="Arial"/>
                <w:b/>
                <w:bCs/>
                <w:color w:val="000000" w:themeColor="text1"/>
                <w:kern w:val="2"/>
                <w:sz w:val="22"/>
                <w:szCs w:val="22"/>
                <w:bdr w:val="none" w:sz="0" w:space="0" w:color="auto" w:frame="1"/>
                <w:lang w:eastAsia="el-GR"/>
                <w14:ligatures w14:val="standardContextual"/>
              </w:rPr>
              <w:t xml:space="preserve"> </w:t>
            </w:r>
            <w:r w:rsidRPr="00D82AA1">
              <w:rPr>
                <w:rFonts w:ascii="Arial" w:hAnsi="Arial" w:cs="Arial"/>
                <w:b/>
                <w:bCs/>
                <w:sz w:val="24"/>
                <w:szCs w:val="24"/>
              </w:rPr>
              <w:t xml:space="preserve">Natalia </w:t>
            </w:r>
            <w:proofErr w:type="spellStart"/>
            <w:r w:rsidRPr="00D82AA1">
              <w:rPr>
                <w:rFonts w:ascii="Arial" w:hAnsi="Arial" w:cs="Arial"/>
                <w:b/>
                <w:bCs/>
                <w:sz w:val="24"/>
                <w:szCs w:val="24"/>
              </w:rPr>
              <w:t>Tsironi</w:t>
            </w:r>
            <w:proofErr w:type="spellEnd"/>
            <w:r w:rsidRPr="00D82AA1">
              <w:rPr>
                <w:rFonts w:ascii="Arial" w:hAnsi="Arial" w:cs="Arial"/>
                <w:b/>
                <w:bCs/>
                <w:sz w:val="24"/>
                <w:szCs w:val="24"/>
              </w:rPr>
              <w:t xml:space="preserve"> </w:t>
            </w:r>
            <w:r w:rsidRPr="00D82AA1">
              <w:rPr>
                <w:rFonts w:ascii="Arial" w:hAnsi="Arial" w:cs="Arial"/>
                <w:b/>
                <w:bCs/>
                <w:sz w:val="24"/>
                <w:szCs w:val="24"/>
                <w:vertAlign w:val="superscript"/>
              </w:rPr>
              <w:t>1,2</w:t>
            </w:r>
            <w:r w:rsidR="001326ED" w:rsidRPr="001326ED">
              <w:rPr>
                <w:rFonts w:ascii="Arial" w:hAnsi="Arial" w:cs="Arial"/>
                <w:b/>
                <w:bCs/>
                <w:sz w:val="24"/>
                <w:szCs w:val="24"/>
                <w:vertAlign w:val="superscript"/>
              </w:rPr>
              <w:t>,</w:t>
            </w:r>
            <w:r w:rsidR="001326ED" w:rsidRPr="00461717">
              <w:rPr>
                <w:rFonts w:ascii="Arial" w:hAnsi="Arial" w:cs="Arial"/>
                <w:b/>
                <w:bCs/>
                <w:color w:val="000000" w:themeColor="text1"/>
                <w:bdr w:val="none" w:sz="0" w:space="0" w:color="auto" w:frame="1"/>
                <w:vertAlign w:val="superscript"/>
                <w:lang w:eastAsia="el-GR"/>
              </w:rPr>
              <w:t>§</w:t>
            </w:r>
            <w:r w:rsidR="009C08C1" w:rsidRPr="00BE2E35">
              <w:rPr>
                <w:rFonts w:ascii="Arial" w:hAnsi="Arial" w:cs="Arial"/>
                <w:sz w:val="24"/>
                <w:szCs w:val="24"/>
              </w:rPr>
              <w:t xml:space="preserve"> and </w:t>
            </w:r>
            <w:r w:rsidR="007F1FF3" w:rsidRPr="007F1FF3">
              <w:rPr>
                <w:rFonts w:ascii="Arial" w:hAnsi="Arial" w:cs="Arial"/>
                <w:b/>
                <w:bCs/>
                <w:sz w:val="24"/>
                <w:szCs w:val="24"/>
              </w:rPr>
              <w:t xml:space="preserve">Savvas Christoforidis </w:t>
            </w:r>
            <w:r w:rsidR="007F1FF3" w:rsidRPr="007F1FF3">
              <w:rPr>
                <w:rFonts w:ascii="Arial" w:hAnsi="Arial" w:cs="Arial"/>
                <w:sz w:val="24"/>
                <w:szCs w:val="24"/>
                <w:vertAlign w:val="superscript"/>
              </w:rPr>
              <w:t>1,2*</w:t>
            </w:r>
          </w:p>
          <w:p w14:paraId="3B658C00" w14:textId="65D642D5"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7F1FF3" w:rsidRPr="007F1FF3">
              <w:rPr>
                <w:rFonts w:ascii="Arial" w:hAnsi="Arial" w:cs="Arial"/>
                <w:sz w:val="18"/>
                <w:szCs w:val="18"/>
              </w:rPr>
              <w:t>Biomedical Research Institute, Foundation for Research and Technology-Hellas, Ioannina, Greece</w:t>
            </w:r>
          </w:p>
          <w:p w14:paraId="41B8BC22" w14:textId="5C109587" w:rsidR="009C08C1" w:rsidRDefault="009C08C1" w:rsidP="009C08C1">
            <w:pPr>
              <w:pStyle w:val="Affilation"/>
              <w:spacing w:before="60" w:after="60"/>
              <w:ind w:left="2835"/>
              <w:rPr>
                <w:rFonts w:ascii="Arial" w:hAnsi="Arial" w:cs="Arial"/>
                <w:sz w:val="18"/>
                <w:szCs w:val="18"/>
                <w:lang w:val="el-GR"/>
              </w:rPr>
            </w:pPr>
            <w:r w:rsidRPr="00BE2E35">
              <w:rPr>
                <w:rFonts w:ascii="Arial" w:hAnsi="Arial" w:cs="Arial"/>
                <w:sz w:val="18"/>
                <w:szCs w:val="18"/>
                <w:vertAlign w:val="superscript"/>
              </w:rPr>
              <w:t>2</w:t>
            </w:r>
            <w:r w:rsidR="007F1FF3">
              <w:t xml:space="preserve"> </w:t>
            </w:r>
            <w:r w:rsidR="007F1FF3" w:rsidRPr="007F1FF3">
              <w:rPr>
                <w:rFonts w:ascii="Arial" w:hAnsi="Arial" w:cs="Arial"/>
                <w:sz w:val="18"/>
                <w:szCs w:val="18"/>
              </w:rPr>
              <w:t>Laboratory of Biological Chemistry, Department of Medicine, School of Health Sciences, University of Ioannina, Ioannina, Greece</w:t>
            </w:r>
          </w:p>
          <w:p w14:paraId="7CC6AA4D" w14:textId="74B9FBD5" w:rsidR="00F33320" w:rsidRDefault="00F33320" w:rsidP="009C08C1">
            <w:pPr>
              <w:pStyle w:val="a7"/>
              <w:spacing w:after="0" w:line="240" w:lineRule="auto"/>
              <w:ind w:left="2835"/>
              <w:rPr>
                <w:sz w:val="16"/>
                <w:szCs w:val="16"/>
              </w:rPr>
            </w:pPr>
            <w:r w:rsidRPr="00E226B4">
              <w:rPr>
                <w:sz w:val="16"/>
                <w:szCs w:val="16"/>
                <w:lang w:val="en-US"/>
              </w:rPr>
              <w:t xml:space="preserve">§These authors contributed equally   </w:t>
            </w:r>
          </w:p>
          <w:p w14:paraId="67163FE9" w14:textId="0F02E2E2" w:rsidR="009C08C1" w:rsidRPr="00BE2E35" w:rsidRDefault="009C08C1" w:rsidP="009C08C1">
            <w:pPr>
              <w:pStyle w:val="a7"/>
              <w:spacing w:after="0" w:line="240" w:lineRule="auto"/>
              <w:ind w:left="2835"/>
              <w:rPr>
                <w:sz w:val="16"/>
                <w:szCs w:val="16"/>
                <w:lang w:val="en-US"/>
              </w:rPr>
            </w:pPr>
            <w:r w:rsidRPr="00BE2E35">
              <w:rPr>
                <w:sz w:val="16"/>
                <w:szCs w:val="16"/>
                <w:lang w:val="en-US"/>
              </w:rPr>
              <w:t># Presenting author:</w:t>
            </w:r>
            <w:r w:rsidR="007F1FF3" w:rsidRPr="007F1FF3">
              <w:rPr>
                <w:lang w:val="en-US"/>
              </w:rPr>
              <w:t xml:space="preserve"> </w:t>
            </w:r>
            <w:r w:rsidR="007F1FF3" w:rsidRPr="007F1FF3">
              <w:rPr>
                <w:sz w:val="16"/>
                <w:szCs w:val="16"/>
                <w:lang w:val="en-US"/>
              </w:rPr>
              <w:t xml:space="preserve">Martha </w:t>
            </w:r>
            <w:proofErr w:type="spellStart"/>
            <w:r w:rsidR="007F1FF3" w:rsidRPr="007F1FF3">
              <w:rPr>
                <w:sz w:val="16"/>
                <w:szCs w:val="16"/>
                <w:lang w:val="en-US"/>
              </w:rPr>
              <w:t>Kontostathi</w:t>
            </w:r>
            <w:proofErr w:type="spellEnd"/>
            <w:r w:rsidR="007F1FF3" w:rsidRPr="007F1FF3">
              <w:rPr>
                <w:sz w:val="16"/>
                <w:szCs w:val="16"/>
                <w:lang w:val="en-US"/>
              </w:rPr>
              <w:t xml:space="preserve">, email: markont9399@gmail.com </w:t>
            </w:r>
          </w:p>
          <w:p w14:paraId="5B9ECC7F" w14:textId="38EFB54E" w:rsidR="00E226B4" w:rsidRPr="00F33320" w:rsidRDefault="009C08C1" w:rsidP="00F33320">
            <w:pPr>
              <w:pStyle w:val="a7"/>
              <w:spacing w:after="0" w:line="240" w:lineRule="auto"/>
              <w:ind w:left="2835"/>
              <w:rPr>
                <w:sz w:val="16"/>
                <w:szCs w:val="16"/>
              </w:rPr>
            </w:pPr>
            <w:r w:rsidRPr="00BE2E35">
              <w:rPr>
                <w:sz w:val="16"/>
                <w:szCs w:val="16"/>
                <w:lang w:val="en-US"/>
              </w:rPr>
              <w:t>* Corresponding author:</w:t>
            </w:r>
            <w:r w:rsidR="007F1FF3" w:rsidRPr="007F1FF3">
              <w:rPr>
                <w:lang w:val="en-US"/>
              </w:rPr>
              <w:t xml:space="preserve"> </w:t>
            </w:r>
            <w:r w:rsidR="007F1FF3" w:rsidRPr="007F1FF3">
              <w:rPr>
                <w:sz w:val="16"/>
                <w:szCs w:val="16"/>
                <w:lang w:val="en-US"/>
              </w:rPr>
              <w:t xml:space="preserve">Savvas Christoforidis, email: </w:t>
            </w:r>
            <w:hyperlink r:id="rId9" w:history="1">
              <w:r w:rsidR="00E226B4" w:rsidRPr="004C2D9C">
                <w:rPr>
                  <w:rStyle w:val="-"/>
                  <w:sz w:val="16"/>
                  <w:szCs w:val="16"/>
                  <w:lang w:val="en-US"/>
                </w:rPr>
                <w:t>savvas_christoforidis@bri.forth.gr</w:t>
              </w:r>
            </w:hyperlink>
          </w:p>
        </w:tc>
      </w:tr>
    </w:tbl>
    <w:p w14:paraId="1470EF39" w14:textId="77777777" w:rsidR="00770740" w:rsidRDefault="00770740" w:rsidP="00740FF0">
      <w:pPr>
        <w:rPr>
          <w:lang w:val="en-US"/>
        </w:rPr>
        <w:sectPr w:rsidR="00770740" w:rsidSect="00EC0AC6">
          <w:footerReference w:type="default" r:id="rId10"/>
          <w:pgSz w:w="11906" w:h="16838"/>
          <w:pgMar w:top="1560" w:right="1800" w:bottom="1440" w:left="1800" w:header="708" w:footer="657" w:gutter="0"/>
          <w:cols w:space="708"/>
          <w:docGrid w:linePitch="360"/>
        </w:sectPr>
      </w:pPr>
    </w:p>
    <w:p w14:paraId="4B962543"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5A206716" w14:textId="517DEEDC" w:rsidR="006C69C9" w:rsidRDefault="007F1FF3" w:rsidP="00557BE2">
      <w:pPr>
        <w:pStyle w:val="AbstractText"/>
        <w:spacing w:after="120" w:line="240" w:lineRule="auto"/>
        <w:ind w:right="-23" w:firstLine="284"/>
        <w:rPr>
          <w:rFonts w:ascii="Arial" w:hAnsi="Arial" w:cs="Arial"/>
          <w:sz w:val="22"/>
          <w:szCs w:val="22"/>
          <w:lang w:val="el-GR"/>
        </w:rPr>
      </w:pPr>
      <w:r w:rsidRPr="007F1FF3">
        <w:rPr>
          <w:rFonts w:ascii="Arial" w:hAnsi="Arial" w:cs="Arial"/>
          <w:sz w:val="22"/>
          <w:szCs w:val="22"/>
        </w:rPr>
        <w:t xml:space="preserve">Alzheimer’s disease (AD) is an age-associated, irreversible neurodegenerative disorder. Α fundamental neuropathological hallmark of this disease is the accumulation of the amyloid-beta (Aβ) peptide in the extracellular space and its aggregation in the brain. Interestingly, critical role for a healthy brain is played by clearance mechanisms of endothelial cells, which traverse the Αβ peptide through the Blood Brain Barrier (BBB), a highly selective semipermeable border (1). Studies in recent years have shown that endothelial cells remove Aβ by endocytosis, and that impairment of this function is a key contributor to AD progression (2). However, the exact contribution of the distinct individual endocytic routes, as well as the involved molecular mechanisms, are largely unexplored. To shed light in this issue here we employed primary endothelial cells isolated from umbilical vein, or from human brain, as an </w:t>
      </w:r>
      <w:r w:rsidRPr="00147B3B">
        <w:rPr>
          <w:rFonts w:ascii="Arial" w:hAnsi="Arial" w:cs="Arial"/>
          <w:i/>
          <w:iCs/>
          <w:sz w:val="22"/>
          <w:szCs w:val="22"/>
        </w:rPr>
        <w:t>in vitro</w:t>
      </w:r>
      <w:r w:rsidRPr="007F1FF3">
        <w:rPr>
          <w:rFonts w:ascii="Arial" w:hAnsi="Arial" w:cs="Arial"/>
          <w:sz w:val="22"/>
          <w:szCs w:val="22"/>
        </w:rPr>
        <w:t xml:space="preserve"> model for investigating the endocytic pathways involved in uptake and transport of Aβ across the BBB. Interestingly, treatment of these cells with specific inhibitors of the individual endocytic routes, or with siRNAs against known endocytic modulators, followed by analysis by confocal microscopy between endocytosed Aβ peptide and markers of the endocytic routes, showed that Aβ is taken up by endothelial cells via at least two independent endocytic routes, the pathway of </w:t>
      </w:r>
      <w:proofErr w:type="spellStart"/>
      <w:r w:rsidRPr="007F1FF3">
        <w:rPr>
          <w:rFonts w:ascii="Arial" w:hAnsi="Arial" w:cs="Arial"/>
          <w:sz w:val="22"/>
          <w:szCs w:val="22"/>
        </w:rPr>
        <w:t>macropinocytosis</w:t>
      </w:r>
      <w:proofErr w:type="spellEnd"/>
      <w:r w:rsidRPr="007F1FF3">
        <w:rPr>
          <w:rFonts w:ascii="Arial" w:hAnsi="Arial" w:cs="Arial"/>
          <w:sz w:val="22"/>
          <w:szCs w:val="22"/>
        </w:rPr>
        <w:t xml:space="preserve"> and the route of </w:t>
      </w:r>
      <w:proofErr w:type="spellStart"/>
      <w:r w:rsidRPr="007F1FF3">
        <w:rPr>
          <w:rFonts w:ascii="Arial" w:hAnsi="Arial" w:cs="Arial"/>
          <w:sz w:val="22"/>
          <w:szCs w:val="22"/>
        </w:rPr>
        <w:t>clathrin</w:t>
      </w:r>
      <w:proofErr w:type="spellEnd"/>
      <w:r w:rsidRPr="007F1FF3">
        <w:rPr>
          <w:rFonts w:ascii="Arial" w:hAnsi="Arial" w:cs="Arial"/>
          <w:sz w:val="22"/>
          <w:szCs w:val="22"/>
        </w:rPr>
        <w:t xml:space="preserve">-mediated endocytosis. Ongoing experiments aim to confirm the </w:t>
      </w:r>
      <w:proofErr w:type="spellStart"/>
      <w:r w:rsidRPr="007F1FF3">
        <w:rPr>
          <w:rFonts w:ascii="Arial" w:hAnsi="Arial" w:cs="Arial"/>
          <w:sz w:val="22"/>
          <w:szCs w:val="22"/>
        </w:rPr>
        <w:t>physiopathological</w:t>
      </w:r>
      <w:proofErr w:type="spellEnd"/>
      <w:r w:rsidRPr="007F1FF3">
        <w:rPr>
          <w:rFonts w:ascii="Arial" w:hAnsi="Arial" w:cs="Arial"/>
          <w:sz w:val="22"/>
          <w:szCs w:val="22"/>
        </w:rPr>
        <w:t xml:space="preserve"> relevance of our findings in endothelial cells generated from iPSCs from Alzheimer’s patients (collaboration with V. </w:t>
      </w:r>
      <w:proofErr w:type="spellStart"/>
      <w:r w:rsidRPr="007F1FF3">
        <w:rPr>
          <w:rFonts w:ascii="Arial" w:hAnsi="Arial" w:cs="Arial"/>
          <w:sz w:val="22"/>
          <w:szCs w:val="22"/>
        </w:rPr>
        <w:t>Mahairaki</w:t>
      </w:r>
      <w:proofErr w:type="spellEnd"/>
      <w:r w:rsidRPr="007F1FF3">
        <w:rPr>
          <w:rFonts w:ascii="Arial" w:hAnsi="Arial" w:cs="Arial"/>
          <w:sz w:val="22"/>
          <w:szCs w:val="22"/>
        </w:rPr>
        <w:t xml:space="preserve">, Johns Hopkins), cultured in </w:t>
      </w:r>
      <w:proofErr w:type="spellStart"/>
      <w:r w:rsidRPr="007F1FF3">
        <w:rPr>
          <w:rFonts w:ascii="Arial" w:hAnsi="Arial" w:cs="Arial"/>
          <w:sz w:val="22"/>
          <w:szCs w:val="22"/>
        </w:rPr>
        <w:t>transwell</w:t>
      </w:r>
      <w:proofErr w:type="spellEnd"/>
      <w:r w:rsidRPr="007F1FF3">
        <w:rPr>
          <w:rFonts w:ascii="Arial" w:hAnsi="Arial" w:cs="Arial"/>
          <w:sz w:val="22"/>
          <w:szCs w:val="22"/>
        </w:rPr>
        <w:t xml:space="preserve"> inserts, an in vitro model of BBB, as well as in animal models, mice and C-elegans, in collaboration with labs of IMBB-FORTH, the groups of I. </w:t>
      </w:r>
      <w:proofErr w:type="spellStart"/>
      <w:r w:rsidRPr="007F1FF3">
        <w:rPr>
          <w:rFonts w:ascii="Arial" w:hAnsi="Arial" w:cs="Arial"/>
          <w:sz w:val="22"/>
          <w:szCs w:val="22"/>
        </w:rPr>
        <w:t>Charalambopoulos</w:t>
      </w:r>
      <w:proofErr w:type="spellEnd"/>
      <w:r w:rsidRPr="007F1FF3">
        <w:rPr>
          <w:rFonts w:ascii="Arial" w:hAnsi="Arial" w:cs="Arial"/>
          <w:sz w:val="22"/>
          <w:szCs w:val="22"/>
        </w:rPr>
        <w:t xml:space="preserve"> and N. </w:t>
      </w:r>
      <w:proofErr w:type="spellStart"/>
      <w:r w:rsidRPr="007F1FF3">
        <w:rPr>
          <w:rFonts w:ascii="Arial" w:hAnsi="Arial" w:cs="Arial"/>
          <w:sz w:val="22"/>
          <w:szCs w:val="22"/>
        </w:rPr>
        <w:t>Tavernarakis</w:t>
      </w:r>
      <w:proofErr w:type="spellEnd"/>
      <w:r w:rsidRPr="007F1FF3">
        <w:rPr>
          <w:rFonts w:ascii="Arial" w:hAnsi="Arial" w:cs="Arial"/>
          <w:sz w:val="22"/>
          <w:szCs w:val="22"/>
        </w:rPr>
        <w:t>, respectively. All in all, the results of the present study will shed light in Aβ clearance mechanisms, thus contributing to novel strategies aiming to reduce the load of Aβ peptide in the brain, thereby preventing or delaying the onset of Alzheimer’s disease.</w:t>
      </w:r>
    </w:p>
    <w:p w14:paraId="0E108F0F" w14:textId="77777777" w:rsidR="00E01E2E" w:rsidRPr="00E01E2E" w:rsidRDefault="00E01E2E" w:rsidP="00E01E2E">
      <w:pPr>
        <w:pStyle w:val="AbstractText"/>
        <w:spacing w:after="120" w:line="240" w:lineRule="auto"/>
        <w:ind w:right="-23"/>
        <w:rPr>
          <w:rFonts w:ascii="Arial" w:hAnsi="Arial" w:cs="Arial"/>
          <w:sz w:val="22"/>
          <w:szCs w:val="22"/>
        </w:rPr>
      </w:pPr>
      <w:r w:rsidRPr="00E01E2E">
        <w:rPr>
          <w:rFonts w:ascii="Arial" w:hAnsi="Arial" w:cs="Arial"/>
          <w:sz w:val="22"/>
          <w:szCs w:val="22"/>
        </w:rPr>
        <w:t>Acknowledgements</w:t>
      </w:r>
    </w:p>
    <w:p w14:paraId="214A0369" w14:textId="2C4CE6C0" w:rsidR="00E01E2E" w:rsidRPr="00E01E2E" w:rsidRDefault="00E01E2E" w:rsidP="00E01E2E">
      <w:pPr>
        <w:pStyle w:val="AbstractText"/>
        <w:spacing w:after="120" w:line="240" w:lineRule="auto"/>
        <w:ind w:right="-23" w:firstLine="284"/>
        <w:rPr>
          <w:rFonts w:ascii="Arial" w:hAnsi="Arial" w:cs="Arial"/>
          <w:sz w:val="22"/>
          <w:szCs w:val="22"/>
        </w:rPr>
      </w:pPr>
      <w:r w:rsidRPr="00E01E2E">
        <w:rPr>
          <w:rFonts w:ascii="Arial" w:hAnsi="Arial" w:cs="Arial"/>
          <w:sz w:val="22"/>
          <w:szCs w:val="22"/>
        </w:rPr>
        <w:t xml:space="preserve">This work was supported by the Marie </w:t>
      </w:r>
      <w:proofErr w:type="spellStart"/>
      <w:r w:rsidRPr="00E01E2E">
        <w:rPr>
          <w:rFonts w:ascii="Arial" w:hAnsi="Arial" w:cs="Arial"/>
          <w:sz w:val="22"/>
          <w:szCs w:val="22"/>
        </w:rPr>
        <w:t>Skłodowska</w:t>
      </w:r>
      <w:proofErr w:type="spellEnd"/>
      <w:r w:rsidRPr="00E01E2E">
        <w:rPr>
          <w:rFonts w:ascii="Arial" w:hAnsi="Arial" w:cs="Arial"/>
          <w:sz w:val="22"/>
          <w:szCs w:val="22"/>
        </w:rPr>
        <w:t>-Curie Actions – Postdoctoral Fellowships 2022, Call: HORIZON-MSCA-2022-PF-01 and the project Brain Precision - TAEDR-0535850 that is ¨Funded by the European Union- Next Generation EU, Greece 2.0 National Recovery and Resilience plan, National Flagship Initiative "Health and Pharmaceuticals" and the Hellenic Foundation for Research and Innovation (H.F.R.I.) under the 5th Call for H.F.R.I. Scholarships for Ph.D. Candidates</w:t>
      </w:r>
    </w:p>
    <w:p w14:paraId="281F987A"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5F293FDC" w14:textId="77777777"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73E86C71" w14:textId="007B95ED" w:rsidR="00EC0AC6" w:rsidRDefault="00CF4DBC" w:rsidP="00CE0E22">
      <w:pPr>
        <w:pStyle w:val="RefText"/>
        <w:ind w:left="426" w:right="-77" w:hanging="426"/>
        <w:rPr>
          <w:rFonts w:ascii="Arial" w:hAnsi="Arial" w:cs="Arial"/>
          <w:sz w:val="16"/>
          <w:szCs w:val="16"/>
          <w:lang w:val="pt-BR"/>
        </w:rPr>
      </w:pPr>
      <w:bookmarkStart w:id="0" w:name="_Hlk176875853"/>
      <w:r w:rsidRPr="006C69C9">
        <w:rPr>
          <w:rFonts w:ascii="Arial" w:hAnsi="Arial" w:cs="Arial"/>
          <w:sz w:val="16"/>
          <w:szCs w:val="16"/>
          <w:lang w:val="en-GB"/>
        </w:rPr>
        <w:t>[1]</w:t>
      </w:r>
      <w:r w:rsidR="007F1FF3" w:rsidRPr="007F1FF3">
        <w:rPr>
          <w:rFonts w:ascii="Arial" w:hAnsi="Arial" w:cs="Arial"/>
          <w:sz w:val="16"/>
          <w:szCs w:val="16"/>
          <w:lang w:val="pt-BR"/>
        </w:rPr>
        <w:t xml:space="preserve"> Zlokovic, B.V., Neurovascular mechanisms of Alzheimer's neurodegeneration. Trends Neurosci, 2005. 28(4): p. 202-8.</w:t>
      </w:r>
    </w:p>
    <w:bookmarkEnd w:id="0"/>
    <w:p w14:paraId="51207FE3" w14:textId="1E6B7BEE" w:rsidR="007F1FF3" w:rsidRPr="007823E1" w:rsidRDefault="007F1FF3" w:rsidP="007F1FF3">
      <w:pPr>
        <w:pStyle w:val="RefText"/>
        <w:ind w:left="0" w:right="-79" w:firstLine="0"/>
        <w:rPr>
          <w:rFonts w:ascii="Arial" w:hAnsi="Arial" w:cs="Arial"/>
          <w:sz w:val="16"/>
          <w:szCs w:val="16"/>
          <w:lang w:val="el-GR"/>
        </w:rPr>
      </w:pPr>
      <w:r w:rsidRPr="006C69C9">
        <w:rPr>
          <w:rFonts w:ascii="Arial" w:hAnsi="Arial" w:cs="Arial"/>
          <w:sz w:val="16"/>
          <w:szCs w:val="16"/>
          <w:lang w:val="en-GB"/>
        </w:rPr>
        <w:t>[</w:t>
      </w:r>
      <w:r w:rsidRPr="007F1FF3">
        <w:rPr>
          <w:rFonts w:ascii="Arial" w:hAnsi="Arial" w:cs="Arial"/>
          <w:sz w:val="16"/>
          <w:szCs w:val="16"/>
        </w:rPr>
        <w:t>2</w:t>
      </w:r>
      <w:r w:rsidRPr="006C69C9">
        <w:rPr>
          <w:rFonts w:ascii="Arial" w:hAnsi="Arial" w:cs="Arial"/>
          <w:sz w:val="16"/>
          <w:szCs w:val="16"/>
          <w:lang w:val="en-GB"/>
        </w:rPr>
        <w:t>]</w:t>
      </w:r>
      <w:r w:rsidRPr="007F1FF3">
        <w:rPr>
          <w:rFonts w:ascii="Arial" w:hAnsi="Arial" w:cs="Arial"/>
          <w:sz w:val="16"/>
          <w:szCs w:val="16"/>
          <w:lang w:val="pt-BR"/>
        </w:rPr>
        <w:t xml:space="preserve"> Z</w:t>
      </w:r>
      <w:r w:rsidRPr="007F1FF3">
        <w:t xml:space="preserve"> </w:t>
      </w:r>
      <w:r w:rsidRPr="007F1FF3">
        <w:rPr>
          <w:rFonts w:ascii="Arial" w:hAnsi="Arial" w:cs="Arial"/>
          <w:sz w:val="16"/>
          <w:szCs w:val="16"/>
          <w:lang w:val="pt-BR"/>
        </w:rPr>
        <w:t>Zhao, Z., et al., Central role for PICALM in amyloid-beta blood-brain barrier transcytosis and clearance. Nat Neurosci, 2015. 18(7): p. 978-87</w:t>
      </w:r>
      <w:r w:rsidR="007823E1">
        <w:rPr>
          <w:rFonts w:ascii="Arial" w:hAnsi="Arial" w:cs="Arial"/>
          <w:sz w:val="16"/>
          <w:szCs w:val="16"/>
          <w:lang w:val="el-GR"/>
        </w:rPr>
        <w:t>.</w:t>
      </w:r>
    </w:p>
    <w:sectPr w:rsidR="007F1FF3" w:rsidRPr="007823E1"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3502" w14:textId="77777777" w:rsidR="00B82433" w:rsidRDefault="00B82433" w:rsidP="00C15FA9">
      <w:pPr>
        <w:spacing w:after="0" w:line="240" w:lineRule="auto"/>
      </w:pPr>
      <w:r>
        <w:separator/>
      </w:r>
    </w:p>
  </w:endnote>
  <w:endnote w:type="continuationSeparator" w:id="0">
    <w:p w14:paraId="34748DC3" w14:textId="77777777" w:rsidR="00B82433" w:rsidRDefault="00B82433"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D501"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F6AF" w14:textId="77777777" w:rsidR="00B82433" w:rsidRDefault="00B82433" w:rsidP="00C15FA9">
      <w:pPr>
        <w:spacing w:after="0" w:line="240" w:lineRule="auto"/>
      </w:pPr>
      <w:r>
        <w:separator/>
      </w:r>
    </w:p>
  </w:footnote>
  <w:footnote w:type="continuationSeparator" w:id="0">
    <w:p w14:paraId="058AE276" w14:textId="77777777" w:rsidR="00B82433" w:rsidRDefault="00B82433"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44971423">
    <w:abstractNumId w:val="0"/>
  </w:num>
  <w:num w:numId="2" w16cid:durableId="25421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326ED"/>
    <w:rsid w:val="00147B3B"/>
    <w:rsid w:val="00166E6F"/>
    <w:rsid w:val="00173A80"/>
    <w:rsid w:val="001A3BD8"/>
    <w:rsid w:val="001A3DA4"/>
    <w:rsid w:val="001B3851"/>
    <w:rsid w:val="001C0F59"/>
    <w:rsid w:val="001C581D"/>
    <w:rsid w:val="001D06ED"/>
    <w:rsid w:val="0021141D"/>
    <w:rsid w:val="00256C90"/>
    <w:rsid w:val="00294445"/>
    <w:rsid w:val="003036CD"/>
    <w:rsid w:val="00320F2A"/>
    <w:rsid w:val="003307BC"/>
    <w:rsid w:val="003A1848"/>
    <w:rsid w:val="003F432B"/>
    <w:rsid w:val="004818A5"/>
    <w:rsid w:val="00491860"/>
    <w:rsid w:val="00492E05"/>
    <w:rsid w:val="004C5CF7"/>
    <w:rsid w:val="004E0540"/>
    <w:rsid w:val="005035C3"/>
    <w:rsid w:val="005304BB"/>
    <w:rsid w:val="005427CA"/>
    <w:rsid w:val="005536A6"/>
    <w:rsid w:val="00557BE2"/>
    <w:rsid w:val="005A418E"/>
    <w:rsid w:val="00610622"/>
    <w:rsid w:val="0061458D"/>
    <w:rsid w:val="0062218B"/>
    <w:rsid w:val="00626E46"/>
    <w:rsid w:val="006348F1"/>
    <w:rsid w:val="0064052C"/>
    <w:rsid w:val="00647F2E"/>
    <w:rsid w:val="00665CE3"/>
    <w:rsid w:val="00681E3A"/>
    <w:rsid w:val="00692BB4"/>
    <w:rsid w:val="006A37A9"/>
    <w:rsid w:val="006A626D"/>
    <w:rsid w:val="006B213A"/>
    <w:rsid w:val="006B303E"/>
    <w:rsid w:val="006B5F6F"/>
    <w:rsid w:val="006C69C9"/>
    <w:rsid w:val="006E7D24"/>
    <w:rsid w:val="0070157B"/>
    <w:rsid w:val="007235C5"/>
    <w:rsid w:val="00730762"/>
    <w:rsid w:val="00740FF0"/>
    <w:rsid w:val="00750221"/>
    <w:rsid w:val="0076170F"/>
    <w:rsid w:val="00762D2A"/>
    <w:rsid w:val="00770740"/>
    <w:rsid w:val="007823E1"/>
    <w:rsid w:val="007C3590"/>
    <w:rsid w:val="007F1FF3"/>
    <w:rsid w:val="0084469F"/>
    <w:rsid w:val="00850765"/>
    <w:rsid w:val="00852B87"/>
    <w:rsid w:val="008F2FBF"/>
    <w:rsid w:val="00916433"/>
    <w:rsid w:val="009164A1"/>
    <w:rsid w:val="00924FB8"/>
    <w:rsid w:val="009312C8"/>
    <w:rsid w:val="009515E0"/>
    <w:rsid w:val="00953403"/>
    <w:rsid w:val="00957923"/>
    <w:rsid w:val="009A7868"/>
    <w:rsid w:val="009C08C1"/>
    <w:rsid w:val="009C0F9D"/>
    <w:rsid w:val="009C68E4"/>
    <w:rsid w:val="00A15232"/>
    <w:rsid w:val="00A46AA9"/>
    <w:rsid w:val="00A51804"/>
    <w:rsid w:val="00A66A2B"/>
    <w:rsid w:val="00A67BC2"/>
    <w:rsid w:val="00A73A19"/>
    <w:rsid w:val="00A822E1"/>
    <w:rsid w:val="00A8623E"/>
    <w:rsid w:val="00AD6335"/>
    <w:rsid w:val="00B0538D"/>
    <w:rsid w:val="00B062DA"/>
    <w:rsid w:val="00B75F5D"/>
    <w:rsid w:val="00B82433"/>
    <w:rsid w:val="00BE281B"/>
    <w:rsid w:val="00BE2E35"/>
    <w:rsid w:val="00BE57FF"/>
    <w:rsid w:val="00BF02B4"/>
    <w:rsid w:val="00C15FA9"/>
    <w:rsid w:val="00C320FC"/>
    <w:rsid w:val="00C606E3"/>
    <w:rsid w:val="00C70942"/>
    <w:rsid w:val="00C7355F"/>
    <w:rsid w:val="00CB340A"/>
    <w:rsid w:val="00CC7F3B"/>
    <w:rsid w:val="00CE0E22"/>
    <w:rsid w:val="00CF4DBC"/>
    <w:rsid w:val="00D3013B"/>
    <w:rsid w:val="00D31968"/>
    <w:rsid w:val="00D82AA1"/>
    <w:rsid w:val="00DC447B"/>
    <w:rsid w:val="00DE2B62"/>
    <w:rsid w:val="00DF3EBE"/>
    <w:rsid w:val="00E01E2E"/>
    <w:rsid w:val="00E1027D"/>
    <w:rsid w:val="00E226B4"/>
    <w:rsid w:val="00E70819"/>
    <w:rsid w:val="00E9351D"/>
    <w:rsid w:val="00EB0C46"/>
    <w:rsid w:val="00EB7B17"/>
    <w:rsid w:val="00EC0AC6"/>
    <w:rsid w:val="00EC14F3"/>
    <w:rsid w:val="00ED1B63"/>
    <w:rsid w:val="00F33320"/>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A2E1C"/>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E226B4"/>
    <w:rPr>
      <w:color w:val="0000FF" w:themeColor="hyperlink"/>
      <w:u w:val="single"/>
    </w:rPr>
  </w:style>
  <w:style w:type="character" w:styleId="a8">
    <w:name w:val="Unresolved Mention"/>
    <w:basedOn w:val="a0"/>
    <w:uiPriority w:val="99"/>
    <w:semiHidden/>
    <w:unhideWhenUsed/>
    <w:rsid w:val="00E2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vvas_christoforidis@bri.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540</Words>
  <Characters>3084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Irini Nixina</cp:lastModifiedBy>
  <cp:revision>7</cp:revision>
  <cp:lastPrinted>2022-05-16T10:24:00Z</cp:lastPrinted>
  <dcterms:created xsi:type="dcterms:W3CDTF">2024-09-18T11:36:00Z</dcterms:created>
  <dcterms:modified xsi:type="dcterms:W3CDTF">2024-09-18T11:48:00Z</dcterms:modified>
</cp:coreProperties>
</file>