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296A73" w:rsidTr="009C08C1">
        <w:trPr>
          <w:trHeight w:val="2097"/>
        </w:trPr>
        <w:tc>
          <w:tcPr>
            <w:tcW w:w="5000" w:type="pct"/>
          </w:tcPr>
          <w:p w:rsidR="009C08C1" w:rsidRPr="00BE2E35" w:rsidRDefault="009C08C1" w:rsidP="009C08C1">
            <w:pPr>
              <w:spacing w:after="0" w:line="240" w:lineRule="auto"/>
              <w:rPr>
                <w:lang w:val="en-US"/>
              </w:rPr>
            </w:pPr>
          </w:p>
          <w:p w:rsidR="009C08C1" w:rsidRPr="009C08C1" w:rsidRDefault="00256C90" w:rsidP="009C08C1">
            <w:pPr>
              <w:pStyle w:val="Articletitle"/>
              <w:spacing w:before="0" w:after="120" w:line="240" w:lineRule="auto"/>
              <w:ind w:left="2835"/>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1225A875" wp14:editId="49BC524A">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7E44DF" w:rsidRPr="007E44DF">
              <w:rPr>
                <w:rFonts w:ascii="Arial" w:hAnsi="Arial" w:cs="Arial"/>
                <w:noProof/>
                <w:sz w:val="28"/>
                <w:szCs w:val="28"/>
              </w:rPr>
              <w:t xml:space="preserve">Predicting Gleason Score in Prostate Cancer Using Explainable Machine Learning Radiomics and Quantitative Diffusion MRI </w:t>
            </w:r>
            <w:r w:rsidR="005F6050" w:rsidRPr="005F6050">
              <w:rPr>
                <w:rFonts w:ascii="Arial" w:hAnsi="Arial" w:cs="Arial"/>
                <w:noProof/>
                <w:sz w:val="28"/>
                <w:szCs w:val="28"/>
              </w:rPr>
              <w:t xml:space="preserve"> </w:t>
            </w:r>
          </w:p>
          <w:p w:rsidR="009C08C1" w:rsidRPr="00A23F54" w:rsidRDefault="007E44DF" w:rsidP="009C08C1">
            <w:pPr>
              <w:pStyle w:val="Authorname"/>
              <w:spacing w:before="0"/>
              <w:ind w:left="2835"/>
              <w:rPr>
                <w:rFonts w:ascii="Arial" w:hAnsi="Arial" w:cs="Arial"/>
                <w:sz w:val="24"/>
                <w:szCs w:val="24"/>
                <w:vertAlign w:val="superscript"/>
              </w:rPr>
            </w:pPr>
            <w:r>
              <w:rPr>
                <w:rFonts w:ascii="Arial" w:hAnsi="Arial" w:cs="Arial"/>
                <w:b/>
                <w:sz w:val="24"/>
                <w:szCs w:val="24"/>
              </w:rPr>
              <w:t>Georgios S. Ioannidis</w:t>
            </w:r>
            <w:r w:rsidR="009C08C1" w:rsidRPr="00BE2E35">
              <w:rPr>
                <w:rFonts w:ascii="Arial" w:hAnsi="Arial" w:cs="Arial"/>
                <w:sz w:val="24"/>
                <w:szCs w:val="24"/>
                <w:vertAlign w:val="superscript"/>
              </w:rPr>
              <w:t>1#</w:t>
            </w:r>
            <w:r>
              <w:rPr>
                <w:rFonts w:ascii="Arial" w:hAnsi="Arial" w:cs="Arial"/>
                <w:sz w:val="24"/>
                <w:szCs w:val="24"/>
                <w:vertAlign w:val="superscript"/>
              </w:rPr>
              <w:t>*</w:t>
            </w:r>
            <w:r w:rsidR="009C08C1" w:rsidRPr="00BE2E35">
              <w:rPr>
                <w:rFonts w:ascii="Arial" w:hAnsi="Arial" w:cs="Arial"/>
                <w:sz w:val="24"/>
                <w:szCs w:val="24"/>
                <w:vertAlign w:val="superscript"/>
              </w:rPr>
              <w:t>,</w:t>
            </w:r>
            <w:r w:rsidR="009C08C1" w:rsidRPr="00BE2E35">
              <w:rPr>
                <w:rFonts w:ascii="Arial" w:hAnsi="Arial" w:cs="Arial"/>
                <w:sz w:val="24"/>
                <w:szCs w:val="24"/>
              </w:rPr>
              <w:t xml:space="preserve">, </w:t>
            </w:r>
            <w:r>
              <w:rPr>
                <w:rFonts w:ascii="Arial" w:hAnsi="Arial" w:cs="Arial"/>
                <w:b/>
                <w:sz w:val="24"/>
                <w:szCs w:val="24"/>
              </w:rPr>
              <w:t>Katerina Nikiforaki</w:t>
            </w:r>
            <w:r>
              <w:rPr>
                <w:rFonts w:ascii="Arial" w:hAnsi="Arial" w:cs="Arial"/>
                <w:sz w:val="24"/>
                <w:szCs w:val="24"/>
                <w:vertAlign w:val="superscript"/>
              </w:rPr>
              <w:t>1</w:t>
            </w:r>
            <w:r w:rsidR="00A23F54">
              <w:rPr>
                <w:rFonts w:ascii="Arial" w:hAnsi="Arial" w:cs="Arial"/>
                <w:sz w:val="24"/>
                <w:szCs w:val="24"/>
              </w:rPr>
              <w:t xml:space="preserve">, </w:t>
            </w:r>
            <w:r>
              <w:rPr>
                <w:rFonts w:ascii="Arial" w:hAnsi="Arial" w:cs="Arial"/>
                <w:b/>
                <w:sz w:val="24"/>
                <w:szCs w:val="24"/>
              </w:rPr>
              <w:t>Michalis Goumenakis</w:t>
            </w:r>
            <w:r w:rsidR="009C08C1" w:rsidRPr="00BE2E35">
              <w:rPr>
                <w:rFonts w:ascii="Arial" w:hAnsi="Arial" w:cs="Arial"/>
                <w:sz w:val="24"/>
                <w:szCs w:val="24"/>
                <w:vertAlign w:val="superscript"/>
              </w:rPr>
              <w:t>2</w:t>
            </w:r>
            <w:r w:rsidR="00A23F54">
              <w:rPr>
                <w:rFonts w:ascii="Arial" w:hAnsi="Arial" w:cs="Arial"/>
                <w:sz w:val="24"/>
                <w:szCs w:val="24"/>
                <w:vertAlign w:val="superscript"/>
              </w:rPr>
              <w:t xml:space="preserve"> </w:t>
            </w:r>
            <w:r w:rsidR="00A23F54">
              <w:rPr>
                <w:rFonts w:ascii="Arial" w:hAnsi="Arial" w:cs="Arial"/>
                <w:sz w:val="24"/>
                <w:szCs w:val="24"/>
              </w:rPr>
              <w:t>and</w:t>
            </w:r>
            <w:r>
              <w:rPr>
                <w:rFonts w:ascii="Arial" w:hAnsi="Arial" w:cs="Arial"/>
                <w:sz w:val="24"/>
                <w:szCs w:val="24"/>
              </w:rPr>
              <w:t xml:space="preserve"> </w:t>
            </w:r>
            <w:r w:rsidRPr="007E44DF">
              <w:rPr>
                <w:rFonts w:ascii="Arial" w:hAnsi="Arial" w:cs="Arial"/>
                <w:b/>
                <w:sz w:val="24"/>
                <w:szCs w:val="24"/>
              </w:rPr>
              <w:t>Kostas Marias</w:t>
            </w:r>
            <w:r w:rsidR="00A23F54">
              <w:rPr>
                <w:rFonts w:ascii="Arial" w:hAnsi="Arial" w:cs="Arial"/>
                <w:sz w:val="24"/>
                <w:szCs w:val="24"/>
                <w:vertAlign w:val="superscript"/>
              </w:rPr>
              <w:t>1,3</w:t>
            </w:r>
          </w:p>
          <w:p w:rsidR="009C08C1" w:rsidRDefault="007E44DF" w:rsidP="00A23F54">
            <w:pPr>
              <w:pStyle w:val="Affilation"/>
              <w:spacing w:before="60" w:after="60"/>
              <w:ind w:left="2835"/>
              <w:rPr>
                <w:rFonts w:ascii="Arial" w:hAnsi="Arial" w:cs="Arial"/>
                <w:sz w:val="18"/>
                <w:szCs w:val="18"/>
              </w:rPr>
            </w:pPr>
            <w:r>
              <w:rPr>
                <w:rFonts w:ascii="Arial" w:hAnsi="Arial" w:cs="Arial"/>
                <w:sz w:val="18"/>
                <w:szCs w:val="18"/>
                <w:vertAlign w:val="superscript"/>
              </w:rPr>
              <w:t>1</w:t>
            </w:r>
            <w:r w:rsidR="00A23F54">
              <w:rPr>
                <w:rFonts w:ascii="Arial" w:hAnsi="Arial" w:cs="Arial"/>
                <w:sz w:val="18"/>
                <w:szCs w:val="18"/>
                <w:vertAlign w:val="superscript"/>
              </w:rPr>
              <w:t xml:space="preserve"> </w:t>
            </w:r>
            <w:r w:rsidRPr="007E44DF">
              <w:rPr>
                <w:rFonts w:ascii="Arial" w:hAnsi="Arial" w:cs="Arial"/>
                <w:sz w:val="18"/>
                <w:szCs w:val="18"/>
              </w:rPr>
              <w:t xml:space="preserve">Computational </w:t>
            </w:r>
            <w:proofErr w:type="spellStart"/>
            <w:r w:rsidRPr="007E44DF">
              <w:rPr>
                <w:rFonts w:ascii="Arial" w:hAnsi="Arial" w:cs="Arial"/>
                <w:sz w:val="18"/>
                <w:szCs w:val="18"/>
              </w:rPr>
              <w:t>BioMedicine</w:t>
            </w:r>
            <w:proofErr w:type="spellEnd"/>
            <w:r w:rsidRPr="007E44DF">
              <w:rPr>
                <w:rFonts w:ascii="Arial" w:hAnsi="Arial" w:cs="Arial"/>
                <w:sz w:val="18"/>
                <w:szCs w:val="18"/>
              </w:rPr>
              <w:t xml:space="preserve"> Laboratory (CBML), Foundation for Research and Technology—Hellas (FORTH), 70013 Heraklion, Greece</w:t>
            </w:r>
          </w:p>
          <w:p w:rsidR="00A23F54" w:rsidRPr="00BE2E35" w:rsidRDefault="00A23F54" w:rsidP="00A23F54">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Pr>
                <w:rFonts w:ascii="Arial" w:hAnsi="Arial" w:cs="Arial"/>
                <w:sz w:val="18"/>
                <w:szCs w:val="18"/>
                <w:vertAlign w:val="superscript"/>
              </w:rPr>
              <w:t xml:space="preserve"> </w:t>
            </w:r>
            <w:r w:rsidRPr="00A23F54">
              <w:rPr>
                <w:rFonts w:ascii="Arial" w:hAnsi="Arial" w:cs="Arial"/>
                <w:sz w:val="18"/>
                <w:szCs w:val="18"/>
              </w:rPr>
              <w:t>Department of Radiology, Medical School, University of Crete, 71003 Heraklion, Greece</w:t>
            </w:r>
          </w:p>
          <w:p w:rsidR="00A23F54" w:rsidRPr="00A23F54" w:rsidRDefault="00A23F54" w:rsidP="00A23F54">
            <w:pPr>
              <w:pStyle w:val="Affilation"/>
              <w:spacing w:before="60" w:after="60"/>
              <w:ind w:left="2835"/>
              <w:rPr>
                <w:rFonts w:ascii="Arial" w:hAnsi="Arial" w:cs="Arial"/>
                <w:sz w:val="18"/>
                <w:szCs w:val="18"/>
              </w:rPr>
            </w:pPr>
            <w:r>
              <w:rPr>
                <w:rFonts w:ascii="Arial" w:hAnsi="Arial" w:cs="Arial"/>
                <w:sz w:val="18"/>
                <w:szCs w:val="18"/>
                <w:vertAlign w:val="superscript"/>
              </w:rPr>
              <w:t xml:space="preserve">3 </w:t>
            </w:r>
            <w:r w:rsidRPr="00A23F54">
              <w:rPr>
                <w:rFonts w:ascii="Arial" w:hAnsi="Arial" w:cs="Arial"/>
                <w:sz w:val="18"/>
                <w:szCs w:val="18"/>
              </w:rPr>
              <w:t>Department of Electrical &amp; Computer Engineering, Hellenic Mediterranean University, 71410 Heraklion, Greece</w:t>
            </w:r>
          </w:p>
          <w:p w:rsidR="009C08C1" w:rsidRPr="00BE2E35" w:rsidRDefault="00A23F54" w:rsidP="00A23F54">
            <w:pPr>
              <w:pStyle w:val="ListParagraph"/>
              <w:spacing w:after="0" w:line="240" w:lineRule="auto"/>
              <w:ind w:left="2835"/>
              <w:rPr>
                <w:sz w:val="16"/>
                <w:szCs w:val="16"/>
                <w:lang w:val="en-US"/>
              </w:rPr>
            </w:pPr>
            <w:r w:rsidRPr="00A23F54">
              <w:rPr>
                <w:rFonts w:ascii="Arial" w:eastAsia="Times New Roman" w:hAnsi="Arial" w:cs="Arial"/>
                <w:iCs/>
                <w:sz w:val="18"/>
                <w:szCs w:val="18"/>
                <w:lang w:val="en-US"/>
              </w:rPr>
              <w:t xml:space="preserve"> </w:t>
            </w:r>
            <w:r w:rsidR="009C08C1" w:rsidRPr="00BE2E35">
              <w:rPr>
                <w:sz w:val="16"/>
                <w:szCs w:val="16"/>
                <w:lang w:val="en-US"/>
              </w:rPr>
              <w:t xml:space="preserve"># Presenting author: </w:t>
            </w:r>
            <w:r w:rsidRPr="00A23F54">
              <w:rPr>
                <w:lang w:val="en-US"/>
              </w:rPr>
              <w:t xml:space="preserve"> </w:t>
            </w:r>
            <w:r w:rsidRPr="00A23F54">
              <w:rPr>
                <w:sz w:val="16"/>
                <w:szCs w:val="16"/>
                <w:lang w:val="en-US"/>
              </w:rPr>
              <w:t xml:space="preserve">Georgios S. Ioannidis </w:t>
            </w:r>
            <w:r w:rsidR="009C08C1" w:rsidRPr="00BE2E35">
              <w:rPr>
                <w:sz w:val="16"/>
                <w:szCs w:val="16"/>
                <w:lang w:val="en-US"/>
              </w:rPr>
              <w:t>, email:</w:t>
            </w:r>
            <w:r>
              <w:rPr>
                <w:sz w:val="16"/>
                <w:szCs w:val="16"/>
                <w:lang w:val="en-US"/>
              </w:rPr>
              <w:t xml:space="preserve"> geo3721@ics.forth.gr</w:t>
            </w:r>
          </w:p>
          <w:p w:rsidR="009C08C1" w:rsidRPr="00BE2E35" w:rsidRDefault="009C08C1" w:rsidP="00A23F54">
            <w:pPr>
              <w:pStyle w:val="ListParagraph"/>
              <w:spacing w:after="0" w:line="240" w:lineRule="auto"/>
              <w:ind w:left="2835"/>
              <w:rPr>
                <w:sz w:val="16"/>
                <w:szCs w:val="16"/>
                <w:lang w:val="en-US"/>
              </w:rPr>
            </w:pPr>
            <w:r w:rsidRPr="00BE2E35">
              <w:rPr>
                <w:sz w:val="16"/>
                <w:szCs w:val="16"/>
                <w:lang w:val="en-US"/>
              </w:rPr>
              <w:t xml:space="preserve">* Corresponding author: </w:t>
            </w:r>
            <w:r w:rsidR="00A23F54" w:rsidRPr="00A23F54">
              <w:rPr>
                <w:lang w:val="en-US"/>
              </w:rPr>
              <w:t xml:space="preserve"> </w:t>
            </w:r>
            <w:r w:rsidR="00A23F54" w:rsidRPr="00A23F54">
              <w:rPr>
                <w:sz w:val="16"/>
                <w:szCs w:val="16"/>
                <w:lang w:val="en-US"/>
              </w:rPr>
              <w:t xml:space="preserve">Georgios S. Ioannidis </w:t>
            </w:r>
            <w:r w:rsidR="00A23F54">
              <w:rPr>
                <w:sz w:val="16"/>
                <w:szCs w:val="16"/>
                <w:lang w:val="en-US"/>
              </w:rPr>
              <w:t xml:space="preserve">, email:  </w:t>
            </w:r>
            <w:r w:rsidR="00A23F54">
              <w:rPr>
                <w:sz w:val="16"/>
                <w:szCs w:val="16"/>
                <w:lang w:val="en-US"/>
              </w:rPr>
              <w:t>geo3721@ics.forth.gr</w:t>
            </w:r>
            <w:bookmarkStart w:id="0" w:name="_GoBack"/>
            <w:bookmarkEnd w:id="0"/>
          </w:p>
        </w:tc>
      </w:tr>
    </w:tbl>
    <w:p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rsidR="004B3CF6" w:rsidRPr="004B3CF6" w:rsidRDefault="004B3CF6" w:rsidP="007E44DF">
      <w:pPr>
        <w:pStyle w:val="AbstractText"/>
        <w:spacing w:before="120" w:line="240" w:lineRule="auto"/>
        <w:ind w:right="-29" w:firstLine="288"/>
        <w:rPr>
          <w:rFonts w:ascii="Arial" w:hAnsi="Arial" w:cs="Arial"/>
          <w:sz w:val="22"/>
          <w:szCs w:val="22"/>
        </w:rPr>
      </w:pPr>
      <w:r w:rsidRPr="004B3CF6">
        <w:rPr>
          <w:rFonts w:ascii="Arial" w:hAnsi="Arial" w:cs="Arial"/>
          <w:sz w:val="22"/>
          <w:szCs w:val="22"/>
        </w:rPr>
        <w:t>Prostate cancer (</w:t>
      </w:r>
      <w:proofErr w:type="spellStart"/>
      <w:r w:rsidRPr="004B3CF6">
        <w:rPr>
          <w:rFonts w:ascii="Arial" w:hAnsi="Arial" w:cs="Arial"/>
          <w:sz w:val="22"/>
          <w:szCs w:val="22"/>
        </w:rPr>
        <w:t>PCa</w:t>
      </w:r>
      <w:proofErr w:type="spellEnd"/>
      <w:r w:rsidRPr="004B3CF6">
        <w:rPr>
          <w:rFonts w:ascii="Arial" w:hAnsi="Arial" w:cs="Arial"/>
          <w:sz w:val="22"/>
          <w:szCs w:val="22"/>
        </w:rPr>
        <w:t xml:space="preserve">) is one of the most frequently diagnosed cancers in men, with an average age of diagnosis at 66 years. A critical challenge in managing </w:t>
      </w:r>
      <w:proofErr w:type="spellStart"/>
      <w:r w:rsidRPr="004B3CF6">
        <w:rPr>
          <w:rFonts w:ascii="Arial" w:hAnsi="Arial" w:cs="Arial"/>
          <w:sz w:val="22"/>
          <w:szCs w:val="22"/>
        </w:rPr>
        <w:t>PCa</w:t>
      </w:r>
      <w:proofErr w:type="spellEnd"/>
      <w:r w:rsidRPr="004B3CF6">
        <w:rPr>
          <w:rFonts w:ascii="Arial" w:hAnsi="Arial" w:cs="Arial"/>
          <w:sz w:val="22"/>
          <w:szCs w:val="22"/>
        </w:rPr>
        <w:t xml:space="preserve"> is the need for precise early-stage characterization to differentiate between patients with indolent disease and those at high risk for aggressive forms. According to the World Health Organization guidelines, the Gleason score is central to prostate cancer management. Lower-grade cancers generally grow more slowly and are less likely to metastasize, whereas higher-grade cancers often require more aggressive treatment, such as prostatectomy. A Gleason score of 7 represents an intermediate-grade cancer, making clinical management particularly challenging and subjective, leading to potential over</w:t>
      </w:r>
      <w:r>
        <w:rPr>
          <w:rFonts w:ascii="Arial" w:hAnsi="Arial" w:cs="Arial"/>
          <w:sz w:val="22"/>
          <w:szCs w:val="22"/>
        </w:rPr>
        <w:t>-</w:t>
      </w:r>
      <w:r w:rsidRPr="004B3CF6">
        <w:rPr>
          <w:rFonts w:ascii="Arial" w:hAnsi="Arial" w:cs="Arial"/>
          <w:sz w:val="22"/>
          <w:szCs w:val="22"/>
        </w:rPr>
        <w:t>treatment or under</w:t>
      </w:r>
      <w:r w:rsidR="005F6050">
        <w:rPr>
          <w:rFonts w:ascii="Arial" w:hAnsi="Arial" w:cs="Arial"/>
          <w:sz w:val="22"/>
          <w:szCs w:val="22"/>
        </w:rPr>
        <w:t>-</w:t>
      </w:r>
      <w:r w:rsidRPr="004B3CF6">
        <w:rPr>
          <w:rFonts w:ascii="Arial" w:hAnsi="Arial" w:cs="Arial"/>
          <w:sz w:val="22"/>
          <w:szCs w:val="22"/>
        </w:rPr>
        <w:t xml:space="preserve">treatment, both of which </w:t>
      </w:r>
      <w:r>
        <w:rPr>
          <w:rFonts w:ascii="Arial" w:hAnsi="Arial" w:cs="Arial"/>
          <w:sz w:val="22"/>
          <w:szCs w:val="22"/>
        </w:rPr>
        <w:t>can result in adverse outcomes</w:t>
      </w:r>
      <w:r w:rsidR="005F6050">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"/>
          <w:id w:val="233670750"/>
          <w:placeholder>
            <w:docPart w:val="DefaultPlaceholder_-1854013440"/>
          </w:placeholder>
        </w:sdtPr>
        <w:sdtContent>
          <w:r w:rsidR="005F6050" w:rsidRPr="005F6050">
            <w:rPr>
              <w:rFonts w:ascii="Arial" w:hAnsi="Arial" w:cs="Arial"/>
              <w:color w:val="000000"/>
              <w:sz w:val="22"/>
              <w:szCs w:val="22"/>
            </w:rPr>
            <w:t>[1]</w:t>
          </w:r>
        </w:sdtContent>
      </w:sdt>
      <w:r>
        <w:rPr>
          <w:rFonts w:ascii="Arial" w:hAnsi="Arial" w:cs="Arial"/>
          <w:sz w:val="22"/>
          <w:szCs w:val="22"/>
        </w:rPr>
        <w:t>.</w:t>
      </w:r>
    </w:p>
    <w:p w:rsidR="004B3CF6" w:rsidRPr="004B3CF6" w:rsidRDefault="004B3CF6" w:rsidP="007E44DF">
      <w:pPr>
        <w:pStyle w:val="AbstractText"/>
        <w:spacing w:before="120" w:line="240" w:lineRule="auto"/>
        <w:ind w:right="-29" w:firstLine="288"/>
        <w:rPr>
          <w:rFonts w:ascii="Arial" w:hAnsi="Arial" w:cs="Arial"/>
          <w:sz w:val="22"/>
          <w:szCs w:val="22"/>
        </w:rPr>
      </w:pPr>
      <w:proofErr w:type="spellStart"/>
      <w:r w:rsidRPr="004B3CF6">
        <w:rPr>
          <w:rFonts w:ascii="Arial" w:hAnsi="Arial" w:cs="Arial"/>
          <w:sz w:val="22"/>
          <w:szCs w:val="22"/>
        </w:rPr>
        <w:t>To</w:t>
      </w:r>
      <w:proofErr w:type="spellEnd"/>
      <w:r w:rsidRPr="004B3CF6">
        <w:rPr>
          <w:rFonts w:ascii="Arial" w:hAnsi="Arial" w:cs="Arial"/>
          <w:sz w:val="22"/>
          <w:szCs w:val="22"/>
        </w:rPr>
        <w:t xml:space="preserve"> address this issue, a retrospective study involving 102 </w:t>
      </w:r>
      <w:proofErr w:type="spellStart"/>
      <w:r w:rsidRPr="004B3CF6">
        <w:rPr>
          <w:rFonts w:ascii="Arial" w:hAnsi="Arial" w:cs="Arial"/>
          <w:sz w:val="22"/>
          <w:szCs w:val="22"/>
        </w:rPr>
        <w:t>histopathologically</w:t>
      </w:r>
      <w:proofErr w:type="spellEnd"/>
      <w:r w:rsidRPr="004B3CF6">
        <w:rPr>
          <w:rFonts w:ascii="Arial" w:hAnsi="Arial" w:cs="Arial"/>
          <w:sz w:val="22"/>
          <w:szCs w:val="22"/>
        </w:rPr>
        <w:t xml:space="preserve"> confirmed </w:t>
      </w:r>
      <w:proofErr w:type="spellStart"/>
      <w:r w:rsidRPr="004B3CF6">
        <w:rPr>
          <w:rFonts w:ascii="Arial" w:hAnsi="Arial" w:cs="Arial"/>
          <w:sz w:val="22"/>
          <w:szCs w:val="22"/>
        </w:rPr>
        <w:t>PCa</w:t>
      </w:r>
      <w:proofErr w:type="spellEnd"/>
      <w:r w:rsidRPr="004B3CF6">
        <w:rPr>
          <w:rFonts w:ascii="Arial" w:hAnsi="Arial" w:cs="Arial"/>
          <w:sz w:val="22"/>
          <w:szCs w:val="22"/>
        </w:rPr>
        <w:t xml:space="preserve"> patients was conducted using explainable machine learning (ML) </w:t>
      </w:r>
      <w:proofErr w:type="spellStart"/>
      <w:r w:rsidRPr="004B3CF6">
        <w:rPr>
          <w:rFonts w:ascii="Arial" w:hAnsi="Arial" w:cs="Arial"/>
          <w:sz w:val="22"/>
          <w:szCs w:val="22"/>
        </w:rPr>
        <w:t>radiomics</w:t>
      </w:r>
      <w:proofErr w:type="spellEnd"/>
      <w:r w:rsidRPr="004B3CF6">
        <w:rPr>
          <w:rFonts w:ascii="Arial" w:hAnsi="Arial" w:cs="Arial"/>
          <w:sz w:val="22"/>
          <w:szCs w:val="22"/>
        </w:rPr>
        <w:t xml:space="preserve"> models derived from quantitative diffusion MRI modeling. These models aimed to automatically classify Gleason scores (GS) into two groups: GS &lt; 7 and GS ≥ 7. The ML models leveraged parametric mapping that included metrics related to tissue heterogeneity, micro-perfusion, and diffusivity, using a </w:t>
      </w:r>
      <w:r>
        <w:rPr>
          <w:rFonts w:ascii="Arial" w:hAnsi="Arial" w:cs="Arial"/>
          <w:sz w:val="22"/>
          <w:szCs w:val="22"/>
        </w:rPr>
        <w:t>variety</w:t>
      </w:r>
      <w:r w:rsidRPr="004B3CF6">
        <w:rPr>
          <w:rFonts w:ascii="Arial" w:hAnsi="Arial" w:cs="Arial"/>
          <w:sz w:val="22"/>
          <w:szCs w:val="22"/>
        </w:rPr>
        <w:t xml:space="preserve"> of classifiers to predict Gleason score. The model's </w:t>
      </w:r>
      <w:proofErr w:type="spellStart"/>
      <w:r w:rsidRPr="004B3CF6">
        <w:rPr>
          <w:rFonts w:ascii="Arial" w:hAnsi="Arial" w:cs="Arial"/>
          <w:sz w:val="22"/>
          <w:szCs w:val="22"/>
        </w:rPr>
        <w:t>explainability</w:t>
      </w:r>
      <w:proofErr w:type="spellEnd"/>
      <w:r w:rsidRPr="004B3CF6">
        <w:rPr>
          <w:rFonts w:ascii="Arial" w:hAnsi="Arial" w:cs="Arial"/>
          <w:sz w:val="22"/>
          <w:szCs w:val="22"/>
        </w:rPr>
        <w:t xml:space="preserve"> was evaluated through Shapley Additive Explanations (SHAP)</w:t>
      </w:r>
      <w:r w:rsidR="005F6050">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"/>
          <w:id w:val="1348520065"/>
          <w:placeholder>
            <w:docPart w:val="DefaultPlaceholder_-1854013440"/>
          </w:placeholder>
        </w:sdtPr>
        <w:sdtContent>
          <w:r w:rsidR="005F6050" w:rsidRPr="005F6050">
            <w:rPr>
              <w:rFonts w:ascii="Arial" w:hAnsi="Arial" w:cs="Arial"/>
              <w:color w:val="000000"/>
              <w:sz w:val="22"/>
              <w:szCs w:val="22"/>
            </w:rPr>
            <w:t>[2]</w:t>
          </w:r>
        </w:sdtContent>
      </w:sdt>
      <w:r w:rsidRPr="004B3CF6">
        <w:rPr>
          <w:rFonts w:ascii="Arial" w:hAnsi="Arial" w:cs="Arial"/>
          <w:sz w:val="22"/>
          <w:szCs w:val="22"/>
        </w:rPr>
        <w:t>, a method that elucidates the contribution of individual features in the prediction process.</w:t>
      </w:r>
    </w:p>
    <w:p w:rsidR="009C08C1" w:rsidRDefault="004B3CF6" w:rsidP="007E44DF">
      <w:pPr>
        <w:pStyle w:val="AbstractText"/>
        <w:spacing w:before="120" w:line="240" w:lineRule="auto"/>
        <w:ind w:right="-29" w:firstLine="288"/>
        <w:rPr>
          <w:rFonts w:ascii="Arial" w:hAnsi="Arial" w:cs="Arial"/>
          <w:sz w:val="22"/>
          <w:szCs w:val="22"/>
        </w:rPr>
      </w:pPr>
      <w:r w:rsidRPr="004B3CF6">
        <w:rPr>
          <w:rFonts w:ascii="Arial" w:hAnsi="Arial" w:cs="Arial"/>
          <w:sz w:val="22"/>
          <w:szCs w:val="22"/>
        </w:rPr>
        <w:t xml:space="preserve">The results demonstrated robust predictive performance, with the combined model achieving a mean accuracy of 78.8% and an area under the curve (AUC) of 83.3%. The integration of tissue heterogeneity and blood micro-perfusion was found to be particularly significant for predicting </w:t>
      </w:r>
      <w:proofErr w:type="spellStart"/>
      <w:r w:rsidRPr="004B3CF6">
        <w:rPr>
          <w:rFonts w:ascii="Arial" w:hAnsi="Arial" w:cs="Arial"/>
          <w:sz w:val="22"/>
          <w:szCs w:val="22"/>
        </w:rPr>
        <w:t>PCa</w:t>
      </w:r>
      <w:proofErr w:type="spellEnd"/>
      <w:r w:rsidRPr="004B3CF6">
        <w:rPr>
          <w:rFonts w:ascii="Arial" w:hAnsi="Arial" w:cs="Arial"/>
          <w:sz w:val="22"/>
          <w:szCs w:val="22"/>
        </w:rPr>
        <w:t xml:space="preserve"> aggressiveness, providing key insights for improving the stratification and treatment of patients based on their Gleason score.</w:t>
      </w:r>
    </w:p>
    <w:p w:rsidR="004B3CF6" w:rsidRPr="00BE281B" w:rsidRDefault="004B3CF6" w:rsidP="004B3CF6">
      <w:pPr>
        <w:pStyle w:val="AbstractText"/>
        <w:spacing w:line="240" w:lineRule="auto"/>
        <w:ind w:right="-23" w:firstLine="284"/>
        <w:rPr>
          <w:rFonts w:ascii="Arial" w:hAnsi="Arial" w:cs="Arial"/>
          <w:sz w:val="22"/>
          <w:szCs w:val="22"/>
        </w:rPr>
      </w:pPr>
    </w:p>
    <w:p w:rsidR="006C69C9"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rsidR="005F6050" w:rsidRPr="005F6050" w:rsidRDefault="005F6050" w:rsidP="00041506">
      <w:pPr>
        <w:pStyle w:val="AbstractText"/>
        <w:spacing w:before="120"/>
        <w:rPr>
          <w:rFonts w:ascii="Arial" w:hAnsi="Arial" w:cs="Arial"/>
          <w:b/>
          <w:sz w:val="20"/>
        </w:rPr>
      </w:pPr>
    </w:p>
    <w:p w:rsidR="005F6050" w:rsidRPr="005F6050" w:rsidRDefault="005F6050" w:rsidP="005F6050">
      <w:pPr>
        <w:spacing w:after="0"/>
        <w:rPr>
          <w:rFonts w:ascii="Arial" w:hAnsi="Arial" w:cs="Arial"/>
          <w:sz w:val="16"/>
          <w:lang w:val="pt-BR"/>
        </w:rPr>
      </w:pPr>
      <w:r w:rsidRPr="005F6050">
        <w:rPr>
          <w:rFonts w:ascii="Arial" w:hAnsi="Arial" w:cs="Arial"/>
          <w:sz w:val="16"/>
          <w:lang w:val="pt-BR"/>
        </w:rPr>
        <w:t xml:space="preserve">[1]    </w:t>
      </w:r>
      <w:r w:rsidRPr="005F6050">
        <w:rPr>
          <w:rFonts w:ascii="Arial" w:hAnsi="Arial" w:cs="Arial"/>
          <w:sz w:val="16"/>
          <w:lang w:val="pt-BR"/>
        </w:rPr>
        <w:t>G. S. Sandhu and G. L. Andriole, “Overdiagnosis of prostate cancer,” J Natl Cancer Inst Monogr, no. 45, pp. 146–151, Sep. 2012, doi: 10.1093/jncimonographs/lgs031.</w:t>
      </w:r>
    </w:p>
    <w:p w:rsidR="00EC0AC6" w:rsidRPr="005F6050" w:rsidRDefault="005F6050" w:rsidP="005F6050">
      <w:pPr>
        <w:spacing w:after="0"/>
        <w:rPr>
          <w:rFonts w:ascii="Arial" w:hAnsi="Arial" w:cs="Arial"/>
          <w:sz w:val="16"/>
          <w:lang w:val="pt-BR"/>
        </w:rPr>
      </w:pPr>
      <w:r w:rsidRPr="005F6050">
        <w:rPr>
          <w:rFonts w:ascii="Arial" w:hAnsi="Arial" w:cs="Arial"/>
          <w:sz w:val="16"/>
          <w:lang w:val="pt-BR"/>
        </w:rPr>
        <w:t xml:space="preserve">[2]    </w:t>
      </w:r>
      <w:r w:rsidRPr="005F6050">
        <w:rPr>
          <w:rFonts w:ascii="Arial" w:hAnsi="Arial" w:cs="Arial"/>
          <w:sz w:val="16"/>
          <w:lang w:val="pt-BR"/>
        </w:rPr>
        <w:t>G. S. Ioannidis et al., “Investigating the value of radiomics stemming from DSC quantitative biomarkers in IDH mutation prediction in gliomas,” Front Neurol, vol. 14, Nov. 2023, doi: 10.3389/fneur.2023.1249452.</w:t>
      </w:r>
    </w:p>
    <w:p w:rsidR="00EC0AC6" w:rsidRPr="005F6050" w:rsidRDefault="00EC0AC6" w:rsidP="00EC0AC6">
      <w:pPr>
        <w:rPr>
          <w:rFonts w:ascii="Arial" w:hAnsi="Arial" w:cs="Arial"/>
          <w:lang w:val="pt-BR"/>
        </w:rPr>
      </w:pPr>
    </w:p>
    <w:sectPr w:rsidR="00EC0AC6" w:rsidRPr="005F6050"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62" w:rsidRDefault="00795C62" w:rsidP="00C15FA9">
      <w:pPr>
        <w:spacing w:after="0" w:line="240" w:lineRule="auto"/>
      </w:pPr>
      <w:r>
        <w:separator/>
      </w:r>
    </w:p>
  </w:endnote>
  <w:endnote w:type="continuationSeparator" w:id="0">
    <w:p w:rsidR="00795C62" w:rsidRDefault="00795C62"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87" w:rsidRPr="00B75F5D" w:rsidRDefault="001C581D" w:rsidP="00EC0AC6">
    <w:pPr>
      <w:pStyle w:val="Footer"/>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62" w:rsidRDefault="00795C62" w:rsidP="00C15FA9">
      <w:pPr>
        <w:spacing w:after="0" w:line="240" w:lineRule="auto"/>
      </w:pPr>
      <w:r>
        <w:separator/>
      </w:r>
    </w:p>
  </w:footnote>
  <w:footnote w:type="continuationSeparator" w:id="0">
    <w:p w:rsidR="00795C62" w:rsidRDefault="00795C62"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122BE4"/>
    <w:rsid w:val="00166E6F"/>
    <w:rsid w:val="00173A80"/>
    <w:rsid w:val="001A3DA4"/>
    <w:rsid w:val="001C0F59"/>
    <w:rsid w:val="001C581D"/>
    <w:rsid w:val="001D06ED"/>
    <w:rsid w:val="0021141D"/>
    <w:rsid w:val="00256C90"/>
    <w:rsid w:val="00296A73"/>
    <w:rsid w:val="003036CD"/>
    <w:rsid w:val="00320F2A"/>
    <w:rsid w:val="003307BC"/>
    <w:rsid w:val="003A1848"/>
    <w:rsid w:val="003F432B"/>
    <w:rsid w:val="004818A5"/>
    <w:rsid w:val="00491860"/>
    <w:rsid w:val="00492E05"/>
    <w:rsid w:val="004B3CF6"/>
    <w:rsid w:val="004C5CF7"/>
    <w:rsid w:val="005035C3"/>
    <w:rsid w:val="005304BB"/>
    <w:rsid w:val="005427CA"/>
    <w:rsid w:val="005536A6"/>
    <w:rsid w:val="00557BE2"/>
    <w:rsid w:val="005A418E"/>
    <w:rsid w:val="005F6050"/>
    <w:rsid w:val="00610622"/>
    <w:rsid w:val="0061458D"/>
    <w:rsid w:val="0062218B"/>
    <w:rsid w:val="00626E46"/>
    <w:rsid w:val="006348F1"/>
    <w:rsid w:val="0064052C"/>
    <w:rsid w:val="00681E3A"/>
    <w:rsid w:val="006A37A9"/>
    <w:rsid w:val="006A626D"/>
    <w:rsid w:val="006B303E"/>
    <w:rsid w:val="006C69C9"/>
    <w:rsid w:val="006E7D24"/>
    <w:rsid w:val="0070157B"/>
    <w:rsid w:val="007235C5"/>
    <w:rsid w:val="00730762"/>
    <w:rsid w:val="00740FF0"/>
    <w:rsid w:val="00750221"/>
    <w:rsid w:val="0076170F"/>
    <w:rsid w:val="00762D2A"/>
    <w:rsid w:val="00770740"/>
    <w:rsid w:val="00795C62"/>
    <w:rsid w:val="0079776D"/>
    <w:rsid w:val="007C3590"/>
    <w:rsid w:val="007E44DF"/>
    <w:rsid w:val="0084469F"/>
    <w:rsid w:val="00850765"/>
    <w:rsid w:val="00852B87"/>
    <w:rsid w:val="008F2FBF"/>
    <w:rsid w:val="00916433"/>
    <w:rsid w:val="009164A1"/>
    <w:rsid w:val="00924FB8"/>
    <w:rsid w:val="009312C8"/>
    <w:rsid w:val="00953403"/>
    <w:rsid w:val="009A7868"/>
    <w:rsid w:val="009C08C1"/>
    <w:rsid w:val="009C0F9D"/>
    <w:rsid w:val="009C68E4"/>
    <w:rsid w:val="00A15232"/>
    <w:rsid w:val="00A23F54"/>
    <w:rsid w:val="00A46AA9"/>
    <w:rsid w:val="00A51804"/>
    <w:rsid w:val="00A66A2B"/>
    <w:rsid w:val="00A67BC2"/>
    <w:rsid w:val="00A822E1"/>
    <w:rsid w:val="00A8623E"/>
    <w:rsid w:val="00AD6335"/>
    <w:rsid w:val="00B0538D"/>
    <w:rsid w:val="00B062DA"/>
    <w:rsid w:val="00B75F5D"/>
    <w:rsid w:val="00BE281B"/>
    <w:rsid w:val="00BE2E35"/>
    <w:rsid w:val="00BE57FF"/>
    <w:rsid w:val="00BF02B4"/>
    <w:rsid w:val="00C15FA9"/>
    <w:rsid w:val="00C320FC"/>
    <w:rsid w:val="00C606E3"/>
    <w:rsid w:val="00C70942"/>
    <w:rsid w:val="00C7355F"/>
    <w:rsid w:val="00CB340A"/>
    <w:rsid w:val="00CC7F3B"/>
    <w:rsid w:val="00CE0E22"/>
    <w:rsid w:val="00CF4DBC"/>
    <w:rsid w:val="00D31968"/>
    <w:rsid w:val="00DC447B"/>
    <w:rsid w:val="00E1027D"/>
    <w:rsid w:val="00E70819"/>
    <w:rsid w:val="00E9351D"/>
    <w:rsid w:val="00EB0C46"/>
    <w:rsid w:val="00EC0AC6"/>
    <w:rsid w:val="00EC14F3"/>
    <w:rsid w:val="00ED1B63"/>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B3550"/>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 w:type="character" w:styleId="PlaceholderText">
    <w:name w:val="Placeholder Text"/>
    <w:basedOn w:val="DefaultParagraphFont"/>
    <w:uiPriority w:val="99"/>
    <w:semiHidden/>
    <w:rsid w:val="005F60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8462">
      <w:bodyDiv w:val="1"/>
      <w:marLeft w:val="0"/>
      <w:marRight w:val="0"/>
      <w:marTop w:val="0"/>
      <w:marBottom w:val="0"/>
      <w:divBdr>
        <w:top w:val="none" w:sz="0" w:space="0" w:color="auto"/>
        <w:left w:val="none" w:sz="0" w:space="0" w:color="auto"/>
        <w:bottom w:val="none" w:sz="0" w:space="0" w:color="auto"/>
        <w:right w:val="none" w:sz="0" w:space="0" w:color="auto"/>
      </w:divBdr>
      <w:divsChild>
        <w:div w:id="1358776288">
          <w:marLeft w:val="0"/>
          <w:marRight w:val="0"/>
          <w:marTop w:val="0"/>
          <w:marBottom w:val="0"/>
          <w:divBdr>
            <w:top w:val="none" w:sz="0" w:space="0" w:color="auto"/>
            <w:left w:val="none" w:sz="0" w:space="0" w:color="auto"/>
            <w:bottom w:val="none" w:sz="0" w:space="0" w:color="auto"/>
            <w:right w:val="none" w:sz="0" w:space="0" w:color="auto"/>
          </w:divBdr>
        </w:div>
      </w:divsChild>
    </w:div>
    <w:div w:id="559100614">
      <w:bodyDiv w:val="1"/>
      <w:marLeft w:val="0"/>
      <w:marRight w:val="0"/>
      <w:marTop w:val="0"/>
      <w:marBottom w:val="0"/>
      <w:divBdr>
        <w:top w:val="none" w:sz="0" w:space="0" w:color="auto"/>
        <w:left w:val="none" w:sz="0" w:space="0" w:color="auto"/>
        <w:bottom w:val="none" w:sz="0" w:space="0" w:color="auto"/>
        <w:right w:val="none" w:sz="0" w:space="0" w:color="auto"/>
      </w:divBdr>
      <w:divsChild>
        <w:div w:id="1455751779">
          <w:marLeft w:val="0"/>
          <w:marRight w:val="0"/>
          <w:marTop w:val="0"/>
          <w:marBottom w:val="0"/>
          <w:divBdr>
            <w:top w:val="none" w:sz="0" w:space="0" w:color="auto"/>
            <w:left w:val="none" w:sz="0" w:space="0" w:color="auto"/>
            <w:bottom w:val="none" w:sz="0" w:space="0" w:color="auto"/>
            <w:right w:val="none" w:sz="0" w:space="0" w:color="auto"/>
          </w:divBdr>
        </w:div>
      </w:divsChild>
    </w:div>
    <w:div w:id="675771817">
      <w:bodyDiv w:val="1"/>
      <w:marLeft w:val="0"/>
      <w:marRight w:val="0"/>
      <w:marTop w:val="0"/>
      <w:marBottom w:val="0"/>
      <w:divBdr>
        <w:top w:val="none" w:sz="0" w:space="0" w:color="auto"/>
        <w:left w:val="none" w:sz="0" w:space="0" w:color="auto"/>
        <w:bottom w:val="none" w:sz="0" w:space="0" w:color="auto"/>
        <w:right w:val="none" w:sz="0" w:space="0" w:color="auto"/>
      </w:divBdr>
      <w:divsChild>
        <w:div w:id="467892693">
          <w:marLeft w:val="640"/>
          <w:marRight w:val="0"/>
          <w:marTop w:val="0"/>
          <w:marBottom w:val="0"/>
          <w:divBdr>
            <w:top w:val="none" w:sz="0" w:space="0" w:color="auto"/>
            <w:left w:val="none" w:sz="0" w:space="0" w:color="auto"/>
            <w:bottom w:val="none" w:sz="0" w:space="0" w:color="auto"/>
            <w:right w:val="none" w:sz="0" w:space="0" w:color="auto"/>
          </w:divBdr>
        </w:div>
        <w:div w:id="83692329">
          <w:marLeft w:val="640"/>
          <w:marRight w:val="0"/>
          <w:marTop w:val="0"/>
          <w:marBottom w:val="0"/>
          <w:divBdr>
            <w:top w:val="none" w:sz="0" w:space="0" w:color="auto"/>
            <w:left w:val="none" w:sz="0" w:space="0" w:color="auto"/>
            <w:bottom w:val="none" w:sz="0" w:space="0" w:color="auto"/>
            <w:right w:val="none" w:sz="0" w:space="0" w:color="auto"/>
          </w:divBdr>
        </w:div>
      </w:divsChild>
    </w:div>
    <w:div w:id="749235878">
      <w:bodyDiv w:val="1"/>
      <w:marLeft w:val="0"/>
      <w:marRight w:val="0"/>
      <w:marTop w:val="0"/>
      <w:marBottom w:val="0"/>
      <w:divBdr>
        <w:top w:val="none" w:sz="0" w:space="0" w:color="auto"/>
        <w:left w:val="none" w:sz="0" w:space="0" w:color="auto"/>
        <w:bottom w:val="none" w:sz="0" w:space="0" w:color="auto"/>
        <w:right w:val="none" w:sz="0" w:space="0" w:color="auto"/>
      </w:divBdr>
      <w:divsChild>
        <w:div w:id="1516264886">
          <w:marLeft w:val="0"/>
          <w:marRight w:val="0"/>
          <w:marTop w:val="0"/>
          <w:marBottom w:val="0"/>
          <w:divBdr>
            <w:top w:val="none" w:sz="0" w:space="0" w:color="auto"/>
            <w:left w:val="none" w:sz="0" w:space="0" w:color="auto"/>
            <w:bottom w:val="none" w:sz="0" w:space="0" w:color="auto"/>
            <w:right w:val="none" w:sz="0" w:space="0" w:color="auto"/>
          </w:divBdr>
        </w:div>
      </w:divsChild>
    </w:div>
    <w:div w:id="1271931323">
      <w:bodyDiv w:val="1"/>
      <w:marLeft w:val="0"/>
      <w:marRight w:val="0"/>
      <w:marTop w:val="0"/>
      <w:marBottom w:val="0"/>
      <w:divBdr>
        <w:top w:val="none" w:sz="0" w:space="0" w:color="auto"/>
        <w:left w:val="none" w:sz="0" w:space="0" w:color="auto"/>
        <w:bottom w:val="none" w:sz="0" w:space="0" w:color="auto"/>
        <w:right w:val="none" w:sz="0" w:space="0" w:color="auto"/>
      </w:divBdr>
      <w:divsChild>
        <w:div w:id="916666604">
          <w:marLeft w:val="0"/>
          <w:marRight w:val="0"/>
          <w:marTop w:val="0"/>
          <w:marBottom w:val="0"/>
          <w:divBdr>
            <w:top w:val="none" w:sz="0" w:space="0" w:color="auto"/>
            <w:left w:val="none" w:sz="0" w:space="0" w:color="auto"/>
            <w:bottom w:val="none" w:sz="0" w:space="0" w:color="auto"/>
            <w:right w:val="none" w:sz="0" w:space="0" w:color="auto"/>
          </w:divBdr>
        </w:div>
      </w:divsChild>
    </w:div>
    <w:div w:id="1961257023">
      <w:bodyDiv w:val="1"/>
      <w:marLeft w:val="0"/>
      <w:marRight w:val="0"/>
      <w:marTop w:val="0"/>
      <w:marBottom w:val="0"/>
      <w:divBdr>
        <w:top w:val="none" w:sz="0" w:space="0" w:color="auto"/>
        <w:left w:val="none" w:sz="0" w:space="0" w:color="auto"/>
        <w:bottom w:val="none" w:sz="0" w:space="0" w:color="auto"/>
        <w:right w:val="none" w:sz="0" w:space="0" w:color="auto"/>
      </w:divBdr>
      <w:divsChild>
        <w:div w:id="1234975456">
          <w:marLeft w:val="640"/>
          <w:marRight w:val="0"/>
          <w:marTop w:val="0"/>
          <w:marBottom w:val="0"/>
          <w:divBdr>
            <w:top w:val="none" w:sz="0" w:space="0" w:color="auto"/>
            <w:left w:val="none" w:sz="0" w:space="0" w:color="auto"/>
            <w:bottom w:val="none" w:sz="0" w:space="0" w:color="auto"/>
            <w:right w:val="none" w:sz="0" w:space="0" w:color="auto"/>
          </w:divBdr>
        </w:div>
        <w:div w:id="795678621">
          <w:marLeft w:val="640"/>
          <w:marRight w:val="0"/>
          <w:marTop w:val="0"/>
          <w:marBottom w:val="0"/>
          <w:divBdr>
            <w:top w:val="none" w:sz="0" w:space="0" w:color="auto"/>
            <w:left w:val="none" w:sz="0" w:space="0" w:color="auto"/>
            <w:bottom w:val="none" w:sz="0" w:space="0" w:color="auto"/>
            <w:right w:val="none" w:sz="0" w:space="0" w:color="auto"/>
          </w:divBdr>
        </w:div>
      </w:divsChild>
    </w:div>
    <w:div w:id="2066102500">
      <w:bodyDiv w:val="1"/>
      <w:marLeft w:val="0"/>
      <w:marRight w:val="0"/>
      <w:marTop w:val="0"/>
      <w:marBottom w:val="0"/>
      <w:divBdr>
        <w:top w:val="none" w:sz="0" w:space="0" w:color="auto"/>
        <w:left w:val="none" w:sz="0" w:space="0" w:color="auto"/>
        <w:bottom w:val="none" w:sz="0" w:space="0" w:color="auto"/>
        <w:right w:val="none" w:sz="0" w:space="0" w:color="auto"/>
      </w:divBdr>
      <w:divsChild>
        <w:div w:id="21863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BAE94DC-8E61-4D42-B15F-AB3FAC74BB42}"/>
      </w:docPartPr>
      <w:docPartBody>
        <w:p w:rsidR="00000000" w:rsidRDefault="00B9445B">
          <w:r w:rsidRPr="004B70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5B"/>
    <w:rsid w:val="00A26808"/>
    <w:rsid w:val="00B9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4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FC7889-B557-4EF9-A572-10B39F9875A8}">
  <we:reference id="wa104382081" version="1.55.1.0" store="en-US" storeType="OMEX"/>
  <we:alternateReferences>
    <we:reference id="wa104382081" version="1.55.1.0" store="wa104382081" storeType="OMEX"/>
  </we:alternateReferences>
  <we:properties>
    <we:property name="MENDELEY_CITATIONS" value="[{&quot;citationID&quot;:&quot;MENDELEY_CITATION_03d323f4-7a14-41bd-a929-c762c1e5322b&quot;,&quot;properties&quot;:{&quot;noteIndex&quot;:0},&quot;isEdited&quot;:false,&quot;manualOverride&quot;:{&quot;isManuallyOverridden&quot;:false,&quot;citeprocText&quot;:&quot;[1]&quot;,&quot;manualOverrideText&quot;:&quot;&quot;},&quot;citationTag&quot;:&quot;MENDELEY_CITATION_v3_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&quot;,&quot;citationItems&quot;:[{&quot;id&quot;:&quot;275b0156-4f0d-370c-8e59-156bd5043969&quot;,&quot;itemData&quot;:{&quot;type&quot;:&quot;article-journal&quot;,&quot;id&quot;:&quot;275b0156-4f0d-370c-8e59-156bd5043969&quot;,&quot;title&quot;:&quot;Overdiagnosis of prostate cancer&quot;,&quot;author&quot;:[{&quot;family&quot;:&quot;Sandhu&quot;,&quot;given&quot;:&quot;Gurdarshan S.&quot;,&quot;parse-names&quot;:false,&quot;dropping-particle&quot;:&quot;&quot;,&quot;non-dropping-particle&quot;:&quot;&quot;},{&quot;family&quot;:&quot;Andriole&quot;,&quot;given&quot;:&quot;Gerald L.&quot;,&quot;parse-names&quot;:false,&quot;dropping-particle&quot;:&quot;&quot;,&quot;non-dropping-particle&quot;:&quot;&quot;}],&quot;container-title&quot;:&quot;Journal of the National Cancer Institute - Monographs&quot;,&quot;container-title-short&quot;:&quot;J Natl Cancer Inst Monogr&quot;,&quot;DOI&quot;:&quot;10.1093/jncimonographs/lgs031&quot;,&quot;ISSN&quot;:&quot;10526773&quot;,&quot;issued&quot;:{&quot;date-parts&quot;:[[2012,9]]},&quot;page&quot;:&quot;146-151&quot;,&quot;abstract&quot;:&quot;This chapter addresses issues relevant to prostate cancer overdiagnosis. Factors promoting the overdiagnosis of prostate cancer are reviewed. First is the existence of a relatively large, silent reservoir of this disease, as can be seen by evaluating autopsy studies and histologic step-sectioning results of prostates removed for other causes. The second main factor responsible for prostate cancer overdiagnosis is fairly widespread prostate-specific antigen and digital rectal examination-based screening, which has been fairly widely practiced in the United States for the past 20 years among heterogeneous groups of men. This has resulted in the identification of many men from this reservoir who otherwise may never have been diagnosed with symptomatic prostate cancer and is substantially responsible for the current annual incidence to mortality ratio for prostate cancer of approximately 6 to 1. Finally, the relatively indolent natural history and limited cancer-specific mortality as reported in a variety of contemporary randomized screening and treatment trials is reviewed. We attempt to quantitate the proportion of newly diagnosed prostate cancers that are overdiagnosed using various trial results and models. We explore the impact of prostate cancer overdiagnosis in terms of patient anxiety and the potential for overtreatment, with its attendant morbidity. We explore strategies to minimize overdiagnosis by targeting screening and biopsy only to men at high risk for aggressive prostate cancer and by considering the use of agents such as 5-alpha reductase inhibitors. Future prospects to prevent overtreatment, including better biopsy and molecular characterization of newly diagnosed cancer and the role of active surveillance, are discussed. © The Author 2012. Published by Oxford University Press. All rights reserved.&quot;,&quot;issue&quot;:&quot;45&quot;},&quot;isTemporary&quot;:false}]},{&quot;citationID&quot;:&quot;MENDELEY_CITATION_8f179399-1e36-4ae6-9efd-d2966bb57322&quot;,&quot;properties&quot;:{&quot;noteIndex&quot;:0},&quot;isEdited&quot;:false,&quot;manualOverride&quot;:{&quot;isManuallyOverridden&quot;:false,&quot;citeprocText&quot;:&quot;[2]&quot;,&quot;manualOverrideText&quot;:&quot;&quot;},&quot;citationTag&quot;:&quot;MENDELEY_CITATION_v3_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&quot;,&quot;citationItems&quot;:[{&quot;id&quot;:&quot;48b3bf91-07cc-395c-bdf4-8c2c2a7a22e0&quot;,&quot;itemData&quot;:{&quot;type&quot;:&quot;article-journal&quot;,&quot;id&quot;:&quot;48b3bf91-07cc-395c-bdf4-8c2c2a7a22e0&quot;,&quot;title&quot;:&quot;Investigating the value of radiomics stemming from DSC quantitative biomarkers in IDH mutation prediction in gliomas&quot;,&quot;author&quot;:[{&quot;family&quot;:&quot;Ioannidis&quot;,&quot;given&quot;:&quot;Georgios S.&quot;,&quot;parse-names&quot;:false,&quot;dropping-particle&quot;:&quot;&quot;,&quot;non-dropping-particle&quot;:&quot;&quot;},{&quot;family&quot;:&quot;Pigott&quot;,&quot;given&quot;:&quot;Laura Elin&quot;,&quot;parse-names&quot;:false,&quot;dropping-particle&quot;:&quot;&quot;,&quot;non-dropping-particle&quot;:&quot;&quot;},{&quot;family&quot;:&quot;Iv&quot;,&quot;given&quot;:&quot;Michael&quot;,&quot;parse-names&quot;:false,&quot;dropping-particle&quot;:&quot;&quot;,&quot;non-dropping-particle&quot;:&quot;&quot;},{&quot;family&quot;:&quot;Surlan-Popovic&quot;,&quot;given&quot;:&quot;Katarina&quot;,&quot;parse-names&quot;:false,&quot;dropping-particle&quot;:&quot;&quot;,&quot;non-dropping-particle&quot;:&quot;&quot;},{&quot;family&quot;:&quot;Wintermark&quot;,&quot;given&quot;:&quot;Max&quot;,&quot;parse-names&quot;:false,&quot;dropping-particle&quot;:&quot;&quot;,&quot;non-dropping-particle&quot;:&quot;&quot;},{&quot;family&quot;:&quot;Bisdas&quot;,&quot;given&quot;:&quot;Sotirios&quot;,&quot;parse-names&quot;:false,&quot;dropping-particle&quot;:&quot;&quot;,&quot;non-dropping-particle&quot;:&quot;&quot;},{&quot;family&quot;:&quot;Marias&quot;,&quot;given&quot;:&quot;Kostas&quot;,&quot;parse-names&quot;:false,&quot;dropping-particle&quot;:&quot;&quot;,&quot;non-dropping-particle&quot;:&quot;&quot;}],&quot;container-title&quot;:&quot;Frontiers in Neurology&quot;,&quot;container-title-short&quot;:&quot;Front Neurol&quot;,&quot;DOI&quot;:&quot;10.3389/fneur.2023.1249452&quot;,&quot;ISSN&quot;:&quot;1664-2295&quot;,&quot;issued&quot;:{&quot;date-parts&quot;:[[2023,11,16]]},&quot;volume&quot;:&quot;14&quot;},&quot;isTemporary&quot;:false}]}]"/>
    <we:property name="MENDELEY_CITATIONS_LOCALE_CODE" value="&quot;en-US&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7582-20AF-4287-8842-F70DC4A1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Geo</cp:lastModifiedBy>
  <cp:revision>6</cp:revision>
  <cp:lastPrinted>2022-05-16T10:24:00Z</cp:lastPrinted>
  <dcterms:created xsi:type="dcterms:W3CDTF">2024-08-06T08:11:00Z</dcterms:created>
  <dcterms:modified xsi:type="dcterms:W3CDTF">2024-09-07T13:02:00Z</dcterms:modified>
</cp:coreProperties>
</file>