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76BA7" w14:textId="77777777" w:rsidR="00D5663A" w:rsidRDefault="00D566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page" w:horzAnchor="margin" w:tblpXSpec="center" w:tblpY="1476"/>
        <w:tblW w:w="9060" w:type="dxa"/>
        <w:tblBorders>
          <w:top w:val="single" w:sz="12" w:space="0" w:color="E36C0A"/>
          <w:bottom w:val="single" w:sz="12" w:space="0" w:color="E36C0A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D5663A" w14:paraId="5DA2D8E8" w14:textId="77777777">
        <w:trPr>
          <w:trHeight w:val="2097"/>
        </w:trPr>
        <w:tc>
          <w:tcPr>
            <w:tcW w:w="9060" w:type="dxa"/>
          </w:tcPr>
          <w:p w14:paraId="5089B28B" w14:textId="77777777" w:rsidR="00D5663A" w:rsidRDefault="00D5663A">
            <w:pPr>
              <w:spacing w:after="0" w:line="240" w:lineRule="auto"/>
            </w:pPr>
          </w:p>
          <w:p w14:paraId="4D936645" w14:textId="77777777" w:rsidR="00D5663A" w:rsidRDefault="0029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after="120" w:line="240" w:lineRule="auto"/>
              <w:ind w:left="2835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Comparative Study on Protein Language Models for Antimicrobial Peptide Classification</w: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hidden="0" allowOverlap="1" wp14:anchorId="1AB00826" wp14:editId="6E356149">
                  <wp:simplePos x="0" y="0"/>
                  <wp:positionH relativeFrom="column">
                    <wp:posOffset>42546</wp:posOffset>
                  </wp:positionH>
                  <wp:positionV relativeFrom="paragraph">
                    <wp:posOffset>144145</wp:posOffset>
                  </wp:positionV>
                  <wp:extent cx="1476375" cy="900430"/>
                  <wp:effectExtent l="0" t="0" r="0" b="0"/>
                  <wp:wrapSquare wrapText="bothSides" distT="0" distB="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004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AC754DC" w14:textId="77777777" w:rsidR="00D5663A" w:rsidRDefault="0029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 w:after="0" w:line="300" w:lineRule="auto"/>
              <w:ind w:left="2835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Elias Georgoulis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1,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2,#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Michaela Areti Zervou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3,4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and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Yannis Pantazis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1,*</w:t>
            </w:r>
          </w:p>
          <w:p w14:paraId="3C0F5610" w14:textId="77777777" w:rsidR="00D5663A" w:rsidRDefault="0029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283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Institute of Applied and Computational Mathematics, FORTH, Heraklion, Greece</w:t>
            </w:r>
          </w:p>
          <w:p w14:paraId="33656AFF" w14:textId="77777777" w:rsidR="00D5663A" w:rsidRDefault="0029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283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Department of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Mathematics &amp; Applied Mathematics, University of Crete, Heraklion, Greece</w:t>
            </w:r>
          </w:p>
          <w:p w14:paraId="54C6818A" w14:textId="77777777" w:rsidR="00D5663A" w:rsidRDefault="0029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283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Department of Computer Science, University of Crete, Heraklion, Greece</w:t>
            </w:r>
          </w:p>
          <w:p w14:paraId="5E648138" w14:textId="77777777" w:rsidR="00D5663A" w:rsidRDefault="0029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283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Institute of Computer Science, FORTH, Heraklion, Greece</w:t>
            </w:r>
          </w:p>
          <w:p w14:paraId="50BE255F" w14:textId="77777777" w:rsidR="00D5663A" w:rsidRDefault="0029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# Presenting author: Elias Georgoulis, email: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math1p0</w:t>
            </w:r>
            <w:r>
              <w:rPr>
                <w:color w:val="000000"/>
                <w:sz w:val="16"/>
                <w:szCs w:val="16"/>
              </w:rPr>
              <w:t>001@math.uoc.gr</w:t>
            </w:r>
          </w:p>
          <w:p w14:paraId="29AC9A29" w14:textId="77777777" w:rsidR="00D5663A" w:rsidRDefault="0029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 Corresponding author: Yannis Pantazis, email: pantazis@iacm.forth.gr</w:t>
            </w:r>
          </w:p>
        </w:tc>
      </w:tr>
    </w:tbl>
    <w:p w14:paraId="4B681718" w14:textId="77777777" w:rsidR="00D5663A" w:rsidRDefault="00D5663A">
      <w:pPr>
        <w:sectPr w:rsidR="00D5663A">
          <w:footerReference w:type="default" r:id="rId8"/>
          <w:pgSz w:w="11906" w:h="16838"/>
          <w:pgMar w:top="1560" w:right="1800" w:bottom="1440" w:left="1800" w:header="708" w:footer="657" w:gutter="0"/>
          <w:pgNumType w:start="1"/>
          <w:cols w:space="720"/>
        </w:sectPr>
      </w:pPr>
    </w:p>
    <w:p w14:paraId="57F933E5" w14:textId="637FC93C" w:rsidR="0075482F" w:rsidRPr="0075482F" w:rsidRDefault="0075482F" w:rsidP="0075482F">
      <w:pPr>
        <w:pBdr>
          <w:top w:val="nil"/>
          <w:left w:val="nil"/>
          <w:bottom w:val="nil"/>
          <w:right w:val="nil"/>
          <w:between w:val="nil"/>
        </w:pBdr>
        <w:spacing w:before="120" w:line="22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Abstract</w:t>
      </w:r>
    </w:p>
    <w:p w14:paraId="18972ECC" w14:textId="7AF8CFA0" w:rsidR="00D5663A" w:rsidRPr="0075482F" w:rsidRDefault="002926FB" w:rsidP="0075482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3"/>
        <w:jc w:val="both"/>
        <w:rPr>
          <w:rFonts w:ascii="Arial" w:eastAsia="Arial" w:hAnsi="Arial" w:cs="Arial"/>
          <w:color w:val="000000"/>
        </w:rPr>
      </w:pPr>
      <w:r w:rsidRPr="0075482F">
        <w:rPr>
          <w:rFonts w:ascii="Arial" w:eastAsia="Arial" w:hAnsi="Arial" w:cs="Arial"/>
          <w:color w:val="000000"/>
        </w:rPr>
        <w:t xml:space="preserve">Deep learning has become </w:t>
      </w:r>
      <w:r w:rsidRPr="0075482F">
        <w:rPr>
          <w:rFonts w:ascii="Arial" w:eastAsia="Arial" w:hAnsi="Arial" w:cs="Arial"/>
          <w:color w:val="000000"/>
        </w:rPr>
        <w:t>the most powerful driving force in computational protein engineering, offering solutions to numerous challenges through both discriminative and generative neural-based models. The traditional machine learning approach involves data collection and curation,</w:t>
      </w:r>
      <w:r w:rsidRPr="0075482F">
        <w:rPr>
          <w:rFonts w:ascii="Arial" w:eastAsia="Arial" w:hAnsi="Arial" w:cs="Arial"/>
          <w:color w:val="000000"/>
        </w:rPr>
        <w:t xml:space="preserve"> followed by model training, tuning, and evaluation. Recently, a new paradigm known as self-supervised learning has emerged, harnessing vast amounts of data and computational power to create foundation models. In this context, we compare various protein la</w:t>
      </w:r>
      <w:r w:rsidRPr="0075482F">
        <w:rPr>
          <w:rFonts w:ascii="Arial" w:eastAsia="Arial" w:hAnsi="Arial" w:cs="Arial"/>
          <w:color w:val="000000"/>
        </w:rPr>
        <w:t>nguage models (PLMs)</w:t>
      </w:r>
      <w:r w:rsidR="00E473E0">
        <w:rPr>
          <w:rFonts w:ascii="Arial" w:eastAsia="Arial" w:hAnsi="Arial" w:cs="Arial"/>
          <w:color w:val="000000"/>
        </w:rPr>
        <w:t xml:space="preserve"> [1, 2]</w:t>
      </w:r>
      <w:r w:rsidRPr="0075482F">
        <w:rPr>
          <w:rFonts w:ascii="Arial" w:eastAsia="Arial" w:hAnsi="Arial" w:cs="Arial"/>
          <w:color w:val="000000"/>
        </w:rPr>
        <w:t>, which are inspired by large language models. Using Antimicrobial Peptide (AMP) classification performance as an evaluation metric, our key findings are as follows: (a) Model scale is crucial, with classification performance imp</w:t>
      </w:r>
      <w:r w:rsidRPr="0075482F">
        <w:rPr>
          <w:rFonts w:ascii="Arial" w:eastAsia="Arial" w:hAnsi="Arial" w:cs="Arial"/>
          <w:color w:val="000000"/>
        </w:rPr>
        <w:t>roving as model size increases; (b) State-of-the-art results are achieved with minimal effort by using embedding representations alongside shallow classifiers; and (c) Classification performance is further enhanced through the cost-effective fine-tuning of</w:t>
      </w:r>
      <w:r w:rsidRPr="0075482F">
        <w:rPr>
          <w:rFonts w:ascii="Arial" w:eastAsia="Arial" w:hAnsi="Arial" w:cs="Arial"/>
          <w:color w:val="000000"/>
        </w:rPr>
        <w:t xml:space="preserve"> PLMs</w:t>
      </w:r>
      <w:r w:rsidR="00E473E0">
        <w:rPr>
          <w:rFonts w:ascii="Arial" w:eastAsia="Arial" w:hAnsi="Arial" w:cs="Arial"/>
          <w:color w:val="000000"/>
        </w:rPr>
        <w:t xml:space="preserve"> [3]</w:t>
      </w:r>
      <w:r w:rsidRPr="0075482F">
        <w:rPr>
          <w:rFonts w:ascii="Arial" w:eastAsia="Arial" w:hAnsi="Arial" w:cs="Arial"/>
          <w:color w:val="000000"/>
        </w:rPr>
        <w:t>.</w:t>
      </w:r>
    </w:p>
    <w:p w14:paraId="7AEAF4D7" w14:textId="77777777" w:rsidR="00D5663A" w:rsidRPr="0075482F" w:rsidRDefault="00D5663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3"/>
        <w:jc w:val="both"/>
        <w:rPr>
          <w:rFonts w:ascii="Arial" w:eastAsia="Arial" w:hAnsi="Arial" w:cs="Arial"/>
          <w:color w:val="000000"/>
        </w:rPr>
      </w:pPr>
    </w:p>
    <w:p w14:paraId="22BFC6CE" w14:textId="41C8A826" w:rsidR="00D5663A" w:rsidRPr="0075482F" w:rsidRDefault="002926FB" w:rsidP="0075482F">
      <w:pPr>
        <w:pBdr>
          <w:top w:val="nil"/>
          <w:left w:val="nil"/>
          <w:bottom w:val="nil"/>
          <w:right w:val="nil"/>
          <w:between w:val="nil"/>
        </w:pBdr>
        <w:spacing w:before="120" w:line="220" w:lineRule="auto"/>
        <w:jc w:val="both"/>
        <w:rPr>
          <w:rFonts w:ascii="Arial" w:eastAsia="Arial" w:hAnsi="Arial" w:cs="Arial"/>
          <w:b/>
          <w:color w:val="000000"/>
        </w:rPr>
      </w:pPr>
      <w:r w:rsidRPr="0075482F">
        <w:rPr>
          <w:rFonts w:ascii="Arial" w:eastAsia="Arial" w:hAnsi="Arial" w:cs="Arial"/>
          <w:b/>
          <w:color w:val="000000"/>
        </w:rPr>
        <w:t>R</w:t>
      </w:r>
      <w:r w:rsidR="0075482F">
        <w:rPr>
          <w:rFonts w:ascii="Arial" w:eastAsia="Arial" w:hAnsi="Arial" w:cs="Arial"/>
          <w:b/>
          <w:color w:val="000000"/>
        </w:rPr>
        <w:t>eferences</w:t>
      </w:r>
    </w:p>
    <w:p w14:paraId="2AFD6D3E" w14:textId="49E78569" w:rsidR="0075482F" w:rsidRPr="00442EED" w:rsidRDefault="0075482F" w:rsidP="0075482F">
      <w:pPr>
        <w:spacing w:after="0"/>
        <w:rPr>
          <w:rFonts w:ascii="Arial" w:hAnsi="Arial" w:cs="Arial"/>
          <w:sz w:val="18"/>
          <w:szCs w:val="18"/>
          <w:lang w:val="en-GB"/>
        </w:rPr>
      </w:pPr>
      <w:r w:rsidRPr="00442EED">
        <w:rPr>
          <w:rFonts w:ascii="Arial" w:hAnsi="Arial" w:cs="Arial"/>
          <w:sz w:val="18"/>
          <w:szCs w:val="18"/>
          <w:lang w:val="en-GB"/>
        </w:rPr>
        <w:t xml:space="preserve">[1] </w:t>
      </w:r>
      <w:proofErr w:type="spellStart"/>
      <w:r w:rsidRPr="00442EED">
        <w:rPr>
          <w:rFonts w:ascii="Arial" w:hAnsi="Arial" w:cs="Arial"/>
          <w:sz w:val="18"/>
          <w:szCs w:val="18"/>
          <w:lang w:val="en-GB"/>
        </w:rPr>
        <w:t>Elnaggar</w:t>
      </w:r>
      <w:proofErr w:type="spellEnd"/>
      <w:r w:rsidRPr="00442EED">
        <w:rPr>
          <w:rFonts w:ascii="Arial" w:hAnsi="Arial" w:cs="Arial"/>
          <w:sz w:val="18"/>
          <w:szCs w:val="18"/>
          <w:lang w:val="en-GB"/>
        </w:rPr>
        <w:t xml:space="preserve"> A, </w:t>
      </w:r>
      <w:proofErr w:type="spellStart"/>
      <w:r w:rsidRPr="00442EED">
        <w:rPr>
          <w:rFonts w:ascii="Arial" w:hAnsi="Arial" w:cs="Arial"/>
          <w:sz w:val="18"/>
          <w:szCs w:val="18"/>
          <w:lang w:val="en-GB"/>
        </w:rPr>
        <w:t>Heinzinger</w:t>
      </w:r>
      <w:proofErr w:type="spellEnd"/>
      <w:r w:rsidRPr="00442EED">
        <w:rPr>
          <w:rFonts w:ascii="Arial" w:hAnsi="Arial" w:cs="Arial"/>
          <w:sz w:val="18"/>
          <w:szCs w:val="18"/>
          <w:lang w:val="en-GB"/>
        </w:rPr>
        <w:t xml:space="preserve"> M, </w:t>
      </w:r>
      <w:proofErr w:type="spellStart"/>
      <w:r w:rsidRPr="00442EED">
        <w:rPr>
          <w:rFonts w:ascii="Arial" w:hAnsi="Arial" w:cs="Arial"/>
          <w:sz w:val="18"/>
          <w:szCs w:val="18"/>
          <w:lang w:val="en-GB"/>
        </w:rPr>
        <w:t>Dallago</w:t>
      </w:r>
      <w:proofErr w:type="spellEnd"/>
      <w:r w:rsidRPr="00442EED">
        <w:rPr>
          <w:rFonts w:ascii="Arial" w:hAnsi="Arial" w:cs="Arial"/>
          <w:sz w:val="18"/>
          <w:szCs w:val="18"/>
          <w:lang w:val="en-GB"/>
        </w:rPr>
        <w:t xml:space="preserve"> C, </w:t>
      </w:r>
      <w:proofErr w:type="spellStart"/>
      <w:r w:rsidRPr="00442EED">
        <w:rPr>
          <w:rFonts w:ascii="Arial" w:hAnsi="Arial" w:cs="Arial"/>
          <w:sz w:val="18"/>
          <w:szCs w:val="18"/>
          <w:lang w:val="en-GB"/>
        </w:rPr>
        <w:t>Rehawi</w:t>
      </w:r>
      <w:proofErr w:type="spellEnd"/>
      <w:r w:rsidRPr="00442EED">
        <w:rPr>
          <w:rFonts w:ascii="Arial" w:hAnsi="Arial" w:cs="Arial"/>
          <w:sz w:val="18"/>
          <w:szCs w:val="18"/>
          <w:lang w:val="en-GB"/>
        </w:rPr>
        <w:t xml:space="preserve"> G, Wang Y, Jones L, Gibbs T, </w:t>
      </w:r>
      <w:proofErr w:type="spellStart"/>
      <w:r w:rsidRPr="00442EED">
        <w:rPr>
          <w:rFonts w:ascii="Arial" w:hAnsi="Arial" w:cs="Arial"/>
          <w:sz w:val="18"/>
          <w:szCs w:val="18"/>
          <w:lang w:val="en-GB"/>
        </w:rPr>
        <w:t>Feher</w:t>
      </w:r>
      <w:proofErr w:type="spellEnd"/>
      <w:r w:rsidRPr="00442EED">
        <w:rPr>
          <w:rFonts w:ascii="Arial" w:hAnsi="Arial" w:cs="Arial"/>
          <w:sz w:val="18"/>
          <w:szCs w:val="18"/>
          <w:lang w:val="en-GB"/>
        </w:rPr>
        <w:t xml:space="preserve"> T, </w:t>
      </w:r>
      <w:proofErr w:type="spellStart"/>
      <w:r w:rsidRPr="00442EED">
        <w:rPr>
          <w:rFonts w:ascii="Arial" w:hAnsi="Arial" w:cs="Arial"/>
          <w:sz w:val="18"/>
          <w:szCs w:val="18"/>
          <w:lang w:val="en-GB"/>
        </w:rPr>
        <w:t>Angerer</w:t>
      </w:r>
      <w:proofErr w:type="spellEnd"/>
      <w:r w:rsidRPr="00442EED">
        <w:rPr>
          <w:rFonts w:ascii="Arial" w:hAnsi="Arial" w:cs="Arial"/>
          <w:sz w:val="18"/>
          <w:szCs w:val="18"/>
          <w:lang w:val="en-GB"/>
        </w:rPr>
        <w:t xml:space="preserve"> C, </w:t>
      </w:r>
      <w:proofErr w:type="spellStart"/>
      <w:r w:rsidRPr="00442EED">
        <w:rPr>
          <w:rFonts w:ascii="Arial" w:hAnsi="Arial" w:cs="Arial"/>
          <w:sz w:val="18"/>
          <w:szCs w:val="18"/>
          <w:lang w:val="en-GB"/>
        </w:rPr>
        <w:t>Steinegger</w:t>
      </w:r>
      <w:proofErr w:type="spellEnd"/>
      <w:r w:rsidRPr="00442EED">
        <w:rPr>
          <w:rFonts w:ascii="Arial" w:hAnsi="Arial" w:cs="Arial"/>
          <w:sz w:val="18"/>
          <w:szCs w:val="18"/>
          <w:lang w:val="en-GB"/>
        </w:rPr>
        <w:t xml:space="preserve"> M, </w:t>
      </w:r>
      <w:proofErr w:type="spellStart"/>
      <w:r w:rsidRPr="00442EED">
        <w:rPr>
          <w:rFonts w:ascii="Arial" w:hAnsi="Arial" w:cs="Arial"/>
          <w:sz w:val="18"/>
          <w:szCs w:val="18"/>
          <w:lang w:val="en-GB"/>
        </w:rPr>
        <w:t>Bhowmik</w:t>
      </w:r>
      <w:proofErr w:type="spellEnd"/>
      <w:r w:rsidRPr="00442EED">
        <w:rPr>
          <w:rFonts w:ascii="Arial" w:hAnsi="Arial" w:cs="Arial"/>
          <w:sz w:val="18"/>
          <w:szCs w:val="18"/>
          <w:lang w:val="en-GB"/>
        </w:rPr>
        <w:t xml:space="preserve"> D, </w:t>
      </w:r>
      <w:proofErr w:type="spellStart"/>
      <w:r w:rsidRPr="00442EED">
        <w:rPr>
          <w:rFonts w:ascii="Arial" w:hAnsi="Arial" w:cs="Arial"/>
          <w:sz w:val="18"/>
          <w:szCs w:val="18"/>
          <w:lang w:val="en-GB"/>
        </w:rPr>
        <w:t>Rost</w:t>
      </w:r>
      <w:proofErr w:type="spellEnd"/>
      <w:r w:rsidRPr="00442EED">
        <w:rPr>
          <w:rFonts w:ascii="Arial" w:hAnsi="Arial" w:cs="Arial"/>
          <w:sz w:val="18"/>
          <w:szCs w:val="18"/>
          <w:lang w:val="en-GB"/>
        </w:rPr>
        <w:t xml:space="preserve"> B. 2022. IEEE transactions on pattern analysis machine intelligence, 44, 7112–7127</w:t>
      </w:r>
    </w:p>
    <w:p w14:paraId="66118B90" w14:textId="51F5E230" w:rsidR="0075482F" w:rsidRPr="00442EED" w:rsidRDefault="0075482F" w:rsidP="0075482F">
      <w:pPr>
        <w:spacing w:after="0"/>
        <w:rPr>
          <w:rFonts w:ascii="Arial" w:hAnsi="Arial" w:cs="Arial"/>
          <w:sz w:val="18"/>
          <w:szCs w:val="18"/>
          <w:lang w:val="en-GB"/>
        </w:rPr>
      </w:pPr>
      <w:r w:rsidRPr="00442EED">
        <w:rPr>
          <w:rFonts w:ascii="Arial" w:hAnsi="Arial" w:cs="Arial"/>
          <w:sz w:val="18"/>
          <w:szCs w:val="18"/>
          <w:lang w:val="en-GB"/>
        </w:rPr>
        <w:t xml:space="preserve">[2] Lin Z, Akin H, Rao R, Hie B, Zhu Z, Lu W, </w:t>
      </w:r>
      <w:proofErr w:type="spellStart"/>
      <w:r w:rsidRPr="00442EED">
        <w:rPr>
          <w:rFonts w:ascii="Arial" w:hAnsi="Arial" w:cs="Arial"/>
          <w:sz w:val="18"/>
          <w:szCs w:val="18"/>
          <w:lang w:val="en-GB"/>
        </w:rPr>
        <w:t>Smetanin</w:t>
      </w:r>
      <w:proofErr w:type="spellEnd"/>
      <w:r w:rsidRPr="00442EED">
        <w:rPr>
          <w:rFonts w:ascii="Arial" w:hAnsi="Arial" w:cs="Arial"/>
          <w:sz w:val="18"/>
          <w:szCs w:val="18"/>
          <w:lang w:val="en-GB"/>
        </w:rPr>
        <w:t xml:space="preserve"> N, </w:t>
      </w:r>
      <w:proofErr w:type="spellStart"/>
      <w:r w:rsidRPr="00442EED">
        <w:rPr>
          <w:rFonts w:ascii="Arial" w:hAnsi="Arial" w:cs="Arial"/>
          <w:sz w:val="18"/>
          <w:szCs w:val="18"/>
          <w:lang w:val="en-GB"/>
        </w:rPr>
        <w:t>Verkuil</w:t>
      </w:r>
      <w:proofErr w:type="spellEnd"/>
      <w:r w:rsidRPr="00442EED">
        <w:rPr>
          <w:rFonts w:ascii="Arial" w:hAnsi="Arial" w:cs="Arial"/>
          <w:sz w:val="18"/>
          <w:szCs w:val="18"/>
          <w:lang w:val="en-GB"/>
        </w:rPr>
        <w:t xml:space="preserve"> R, </w:t>
      </w:r>
      <w:proofErr w:type="spellStart"/>
      <w:r w:rsidRPr="00442EED">
        <w:rPr>
          <w:rFonts w:ascii="Arial" w:hAnsi="Arial" w:cs="Arial"/>
          <w:sz w:val="18"/>
          <w:szCs w:val="18"/>
          <w:lang w:val="en-GB"/>
        </w:rPr>
        <w:t>Kabeli</w:t>
      </w:r>
      <w:proofErr w:type="spellEnd"/>
      <w:r w:rsidRPr="00442EED">
        <w:rPr>
          <w:rFonts w:ascii="Arial" w:hAnsi="Arial" w:cs="Arial"/>
          <w:sz w:val="18"/>
          <w:szCs w:val="18"/>
          <w:lang w:val="en-GB"/>
        </w:rPr>
        <w:t xml:space="preserve"> O, </w:t>
      </w:r>
      <w:proofErr w:type="spellStart"/>
      <w:r w:rsidRPr="00442EED">
        <w:rPr>
          <w:rFonts w:ascii="Arial" w:hAnsi="Arial" w:cs="Arial"/>
          <w:sz w:val="18"/>
          <w:szCs w:val="18"/>
          <w:lang w:val="en-GB"/>
        </w:rPr>
        <w:t>Shmueli</w:t>
      </w:r>
      <w:proofErr w:type="spellEnd"/>
      <w:r w:rsidRPr="00442EED">
        <w:rPr>
          <w:rFonts w:ascii="Arial" w:hAnsi="Arial" w:cs="Arial"/>
          <w:sz w:val="18"/>
          <w:szCs w:val="18"/>
          <w:lang w:val="en-GB"/>
        </w:rPr>
        <w:t xml:space="preserve"> Y, Dos Santos Costa A, </w:t>
      </w:r>
      <w:proofErr w:type="spellStart"/>
      <w:r w:rsidRPr="00442EED">
        <w:rPr>
          <w:rFonts w:ascii="Arial" w:hAnsi="Arial" w:cs="Arial"/>
          <w:sz w:val="18"/>
          <w:szCs w:val="18"/>
          <w:lang w:val="en-GB"/>
        </w:rPr>
        <w:t>Fazel-Zarandi</w:t>
      </w:r>
      <w:proofErr w:type="spellEnd"/>
      <w:r w:rsidRPr="00442EED">
        <w:rPr>
          <w:rFonts w:ascii="Arial" w:hAnsi="Arial" w:cs="Arial"/>
          <w:sz w:val="18"/>
          <w:szCs w:val="18"/>
          <w:lang w:val="en-GB"/>
        </w:rPr>
        <w:t xml:space="preserve"> </w:t>
      </w:r>
      <w:proofErr w:type="gramStart"/>
      <w:r w:rsidRPr="00442EED">
        <w:rPr>
          <w:rFonts w:ascii="Arial" w:hAnsi="Arial" w:cs="Arial"/>
          <w:sz w:val="18"/>
          <w:szCs w:val="18"/>
          <w:lang w:val="en-GB"/>
        </w:rPr>
        <w:t xml:space="preserve">M,  </w:t>
      </w:r>
      <w:proofErr w:type="spellStart"/>
      <w:r w:rsidRPr="00442EED">
        <w:rPr>
          <w:rFonts w:ascii="Arial" w:hAnsi="Arial" w:cs="Arial"/>
          <w:sz w:val="18"/>
          <w:szCs w:val="18"/>
          <w:lang w:val="en-GB"/>
        </w:rPr>
        <w:t>Sercu</w:t>
      </w:r>
      <w:proofErr w:type="spellEnd"/>
      <w:proofErr w:type="gramEnd"/>
      <w:r w:rsidRPr="00442EED">
        <w:rPr>
          <w:rFonts w:ascii="Arial" w:hAnsi="Arial" w:cs="Arial"/>
          <w:sz w:val="18"/>
          <w:szCs w:val="18"/>
          <w:lang w:val="en-GB"/>
        </w:rPr>
        <w:t xml:space="preserve"> T, Candido S, Rives A. 2023. Science 379, 1123-1130</w:t>
      </w:r>
    </w:p>
    <w:p w14:paraId="10CADB7B" w14:textId="4A23FFE2" w:rsidR="00D5663A" w:rsidRPr="00442EED" w:rsidRDefault="0075482F" w:rsidP="0075482F">
      <w:pPr>
        <w:spacing w:after="0"/>
        <w:rPr>
          <w:rFonts w:ascii="Arial" w:hAnsi="Arial" w:cs="Arial"/>
          <w:sz w:val="18"/>
          <w:szCs w:val="18"/>
        </w:rPr>
      </w:pPr>
      <w:r w:rsidRPr="00442EED">
        <w:rPr>
          <w:rFonts w:ascii="Arial" w:hAnsi="Arial" w:cs="Arial"/>
          <w:sz w:val="18"/>
          <w:szCs w:val="18"/>
          <w:lang w:val="en-GB"/>
        </w:rPr>
        <w:t xml:space="preserve">[3] Edward J. Hu, </w:t>
      </w:r>
      <w:proofErr w:type="spellStart"/>
      <w:r w:rsidRPr="00442EED">
        <w:rPr>
          <w:rFonts w:ascii="Arial" w:hAnsi="Arial" w:cs="Arial"/>
          <w:sz w:val="18"/>
          <w:szCs w:val="18"/>
          <w:lang w:val="en-GB"/>
        </w:rPr>
        <w:t>Yelong</w:t>
      </w:r>
      <w:proofErr w:type="spellEnd"/>
      <w:r w:rsidRPr="00442EED">
        <w:rPr>
          <w:rFonts w:ascii="Arial" w:hAnsi="Arial" w:cs="Arial"/>
          <w:sz w:val="18"/>
          <w:szCs w:val="18"/>
          <w:lang w:val="en-GB"/>
        </w:rPr>
        <w:t xml:space="preserve"> Shen, Phillip Wallis, </w:t>
      </w:r>
      <w:proofErr w:type="spellStart"/>
      <w:r w:rsidRPr="00442EED">
        <w:rPr>
          <w:rFonts w:ascii="Arial" w:hAnsi="Arial" w:cs="Arial"/>
          <w:sz w:val="18"/>
          <w:szCs w:val="18"/>
          <w:lang w:val="en-GB"/>
        </w:rPr>
        <w:t>Zeyuan</w:t>
      </w:r>
      <w:proofErr w:type="spellEnd"/>
      <w:r w:rsidRPr="00442EED">
        <w:rPr>
          <w:rFonts w:ascii="Arial" w:hAnsi="Arial" w:cs="Arial"/>
          <w:sz w:val="18"/>
          <w:szCs w:val="18"/>
          <w:lang w:val="en-GB"/>
        </w:rPr>
        <w:t xml:space="preserve"> Allen-Zhu, </w:t>
      </w:r>
      <w:proofErr w:type="spellStart"/>
      <w:r w:rsidRPr="00442EED">
        <w:rPr>
          <w:rFonts w:ascii="Arial" w:hAnsi="Arial" w:cs="Arial"/>
          <w:sz w:val="18"/>
          <w:szCs w:val="18"/>
          <w:lang w:val="en-GB"/>
        </w:rPr>
        <w:t>Yuanzhi</w:t>
      </w:r>
      <w:proofErr w:type="spellEnd"/>
      <w:r w:rsidRPr="00442EED">
        <w:rPr>
          <w:rFonts w:ascii="Arial" w:hAnsi="Arial" w:cs="Arial"/>
          <w:sz w:val="18"/>
          <w:szCs w:val="18"/>
          <w:lang w:val="en-GB"/>
        </w:rPr>
        <w:t xml:space="preserve"> Li, </w:t>
      </w:r>
      <w:proofErr w:type="spellStart"/>
      <w:r w:rsidRPr="00442EED">
        <w:rPr>
          <w:rFonts w:ascii="Arial" w:hAnsi="Arial" w:cs="Arial"/>
          <w:sz w:val="18"/>
          <w:szCs w:val="18"/>
          <w:lang w:val="en-GB"/>
        </w:rPr>
        <w:t>Shean</w:t>
      </w:r>
      <w:proofErr w:type="spellEnd"/>
      <w:r w:rsidRPr="00442EED">
        <w:rPr>
          <w:rFonts w:ascii="Arial" w:hAnsi="Arial" w:cs="Arial"/>
          <w:sz w:val="18"/>
          <w:szCs w:val="18"/>
          <w:lang w:val="en-GB"/>
        </w:rPr>
        <w:t xml:space="preserve"> Wang, Lu Wang, </w:t>
      </w:r>
      <w:proofErr w:type="spellStart"/>
      <w:r w:rsidRPr="00442EED">
        <w:rPr>
          <w:rFonts w:ascii="Arial" w:hAnsi="Arial" w:cs="Arial"/>
          <w:sz w:val="18"/>
          <w:szCs w:val="18"/>
          <w:lang w:val="en-GB"/>
        </w:rPr>
        <w:t>Weizhu</w:t>
      </w:r>
      <w:proofErr w:type="spellEnd"/>
      <w:r w:rsidRPr="00442EED">
        <w:rPr>
          <w:rFonts w:ascii="Arial" w:hAnsi="Arial" w:cs="Arial"/>
          <w:sz w:val="18"/>
          <w:szCs w:val="18"/>
          <w:lang w:val="en-GB"/>
        </w:rPr>
        <w:t xml:space="preserve"> Chen. 2021. </w:t>
      </w:r>
      <w:proofErr w:type="spellStart"/>
      <w:r w:rsidRPr="00442EED">
        <w:rPr>
          <w:rFonts w:ascii="Arial" w:hAnsi="Arial" w:cs="Arial"/>
          <w:sz w:val="18"/>
          <w:szCs w:val="18"/>
          <w:lang w:val="en-GB"/>
        </w:rPr>
        <w:t>ArXiv</w:t>
      </w:r>
      <w:proofErr w:type="spellEnd"/>
      <w:r w:rsidRPr="00442EED">
        <w:rPr>
          <w:rFonts w:ascii="Arial" w:hAnsi="Arial" w:cs="Arial"/>
          <w:sz w:val="18"/>
          <w:szCs w:val="18"/>
          <w:lang w:val="en-GB"/>
        </w:rPr>
        <w:t>, abs/2106.09685</w:t>
      </w:r>
    </w:p>
    <w:p w14:paraId="04244A8C" w14:textId="77777777" w:rsidR="00D5663A" w:rsidRDefault="00D5663A">
      <w:bookmarkStart w:id="0" w:name="_GoBack"/>
      <w:bookmarkEnd w:id="0"/>
    </w:p>
    <w:p w14:paraId="7F4C8D8F" w14:textId="77777777" w:rsidR="00D5663A" w:rsidRDefault="00D5663A"/>
    <w:p w14:paraId="36DFA9B3" w14:textId="77777777" w:rsidR="00D5663A" w:rsidRDefault="00D5663A"/>
    <w:p w14:paraId="3D7E1085" w14:textId="77777777" w:rsidR="00D5663A" w:rsidRDefault="00D5663A"/>
    <w:p w14:paraId="284C85A6" w14:textId="77777777" w:rsidR="00D5663A" w:rsidRDefault="00D5663A">
      <w:pPr>
        <w:jc w:val="center"/>
      </w:pPr>
    </w:p>
    <w:sectPr w:rsidR="00D5663A">
      <w:type w:val="continuous"/>
      <w:pgSz w:w="11906" w:h="16838"/>
      <w:pgMar w:top="22" w:right="1286" w:bottom="1440" w:left="1260" w:header="708" w:footer="6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683EB" w14:textId="77777777" w:rsidR="002926FB" w:rsidRDefault="002926FB">
      <w:pPr>
        <w:spacing w:after="0" w:line="240" w:lineRule="auto"/>
      </w:pPr>
      <w:r>
        <w:separator/>
      </w:r>
    </w:p>
  </w:endnote>
  <w:endnote w:type="continuationSeparator" w:id="0">
    <w:p w14:paraId="51B1D55B" w14:textId="77777777" w:rsidR="002926FB" w:rsidRDefault="0029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-Light">
    <w:charset w:val="00"/>
    <w:family w:val="swiss"/>
    <w:pitch w:val="variable"/>
    <w:sig w:usb0="800000AF" w:usb1="4000204A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60FCD" w14:textId="38E99419" w:rsidR="00D5663A" w:rsidRDefault="002926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b/>
        <w:color w:val="000000"/>
        <w:sz w:val="14"/>
        <w:szCs w:val="14"/>
      </w:rPr>
      <w:t>1</w:t>
    </w:r>
    <w:r w:rsidR="00442EED" w:rsidRPr="00442EED">
      <w:rPr>
        <w:rFonts w:ascii="Arial" w:eastAsia="Arial" w:hAnsi="Arial" w:cs="Arial"/>
        <w:b/>
        <w:color w:val="000000"/>
        <w:sz w:val="14"/>
        <w:szCs w:val="14"/>
        <w:lang w:val="en-US"/>
      </w:rPr>
      <w:t>4</w:t>
    </w:r>
    <w:proofErr w:type="spellStart"/>
    <w:r>
      <w:rPr>
        <w:rFonts w:ascii="Arial" w:eastAsia="Arial" w:hAnsi="Arial" w:cs="Arial"/>
        <w:b/>
        <w:color w:val="000000"/>
        <w:sz w:val="14"/>
        <w:szCs w:val="14"/>
        <w:vertAlign w:val="superscript"/>
      </w:rPr>
      <w:t>th</w:t>
    </w:r>
    <w:proofErr w:type="spellEnd"/>
    <w:r>
      <w:rPr>
        <w:rFonts w:ascii="Arial" w:eastAsia="Arial" w:hAnsi="Arial" w:cs="Arial"/>
        <w:b/>
        <w:color w:val="000000"/>
        <w:sz w:val="14"/>
        <w:szCs w:val="14"/>
      </w:rPr>
      <w:t xml:space="preserve"> Scientific FORTH Retreat,</w:t>
    </w:r>
    <w:r w:rsidR="00442EED">
      <w:rPr>
        <w:rFonts w:ascii="Arial" w:eastAsia="Arial" w:hAnsi="Arial" w:cs="Arial"/>
        <w:b/>
        <w:color w:val="000000"/>
        <w:sz w:val="14"/>
        <w:szCs w:val="14"/>
        <w:lang w:val="en-US"/>
      </w:rPr>
      <w:t xml:space="preserve"> October</w:t>
    </w:r>
    <w:r>
      <w:rPr>
        <w:rFonts w:ascii="Arial" w:eastAsia="Arial" w:hAnsi="Arial" w:cs="Arial"/>
        <w:b/>
        <w:color w:val="000000"/>
        <w:sz w:val="14"/>
        <w:szCs w:val="14"/>
      </w:rPr>
      <w:t xml:space="preserve"> 202</w:t>
    </w:r>
    <w:r w:rsidR="00442EED">
      <w:rPr>
        <w:rFonts w:ascii="Arial" w:eastAsia="Arial" w:hAnsi="Arial" w:cs="Arial"/>
        <w:b/>
        <w:color w:val="000000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600CF" w14:textId="77777777" w:rsidR="002926FB" w:rsidRDefault="002926FB">
      <w:pPr>
        <w:spacing w:after="0" w:line="240" w:lineRule="auto"/>
      </w:pPr>
      <w:r>
        <w:separator/>
      </w:r>
    </w:p>
  </w:footnote>
  <w:footnote w:type="continuationSeparator" w:id="0">
    <w:p w14:paraId="101FEA8D" w14:textId="77777777" w:rsidR="002926FB" w:rsidRDefault="00292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3A"/>
    <w:rsid w:val="002926FB"/>
    <w:rsid w:val="003D67AF"/>
    <w:rsid w:val="00420BA7"/>
    <w:rsid w:val="00442EED"/>
    <w:rsid w:val="0075482F"/>
    <w:rsid w:val="008509CA"/>
    <w:rsid w:val="00D01B5E"/>
    <w:rsid w:val="00D5663A"/>
    <w:rsid w:val="00E4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8198"/>
  <w15:docId w15:val="{D1182520-46FB-2642-A2EF-83D95DE9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D8A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0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itle">
    <w:name w:val="Article title"/>
    <w:rsid w:val="00770740"/>
    <w:pPr>
      <w:spacing w:before="92" w:line="420" w:lineRule="exact"/>
    </w:pPr>
    <w:rPr>
      <w:rFonts w:ascii="Helvetica" w:eastAsia="Times New Roman" w:hAnsi="Helvetica"/>
      <w:b/>
      <w:sz w:val="32"/>
      <w:lang w:val="en-US" w:eastAsia="en-US"/>
    </w:rPr>
  </w:style>
  <w:style w:type="paragraph" w:customStyle="1" w:styleId="Authorname">
    <w:name w:val="Author name"/>
    <w:rsid w:val="00770740"/>
    <w:pPr>
      <w:spacing w:before="70" w:line="300" w:lineRule="exact"/>
    </w:pPr>
    <w:rPr>
      <w:rFonts w:ascii="Helvetica-Light" w:eastAsia="Times New Roman" w:hAnsi="Helvetica-Light"/>
      <w:iCs/>
      <w:sz w:val="26"/>
      <w:lang w:val="en-US" w:eastAsia="en-US"/>
    </w:rPr>
  </w:style>
  <w:style w:type="paragraph" w:customStyle="1" w:styleId="Affilation">
    <w:name w:val="Affilation"/>
    <w:basedOn w:val="Authorname"/>
    <w:rsid w:val="00770740"/>
    <w:pPr>
      <w:spacing w:before="40" w:after="52" w:line="240" w:lineRule="exact"/>
    </w:pPr>
    <w:rPr>
      <w:sz w:val="20"/>
    </w:rPr>
  </w:style>
  <w:style w:type="paragraph" w:customStyle="1" w:styleId="AbstractHead">
    <w:name w:val="Abstract Head"/>
    <w:rsid w:val="00770740"/>
    <w:pPr>
      <w:spacing w:before="210" w:after="10" w:line="220" w:lineRule="exact"/>
      <w:jc w:val="both"/>
    </w:pPr>
    <w:rPr>
      <w:rFonts w:ascii="Helvetica" w:eastAsia="Times New Roman" w:hAnsi="Helvetica"/>
      <w:b/>
      <w:caps/>
      <w:sz w:val="16"/>
      <w:lang w:val="en-US" w:eastAsia="en-US"/>
    </w:rPr>
  </w:style>
  <w:style w:type="paragraph" w:customStyle="1" w:styleId="AbstractText">
    <w:name w:val="Abstract Text"/>
    <w:rsid w:val="00770740"/>
    <w:pPr>
      <w:spacing w:line="220" w:lineRule="exact"/>
      <w:jc w:val="both"/>
    </w:pPr>
    <w:rPr>
      <w:rFonts w:ascii="Helvetica" w:eastAsia="Times New Roman" w:hAnsi="Helvetica"/>
      <w:sz w:val="16"/>
      <w:lang w:val="en-US" w:eastAsia="en-US"/>
    </w:rPr>
  </w:style>
  <w:style w:type="paragraph" w:customStyle="1" w:styleId="AckHead">
    <w:name w:val="Ack Head"/>
    <w:basedOn w:val="Normal"/>
    <w:rsid w:val="00770740"/>
    <w:pPr>
      <w:spacing w:before="226" w:after="50" w:line="240" w:lineRule="exact"/>
      <w:outlineLvl w:val="0"/>
    </w:pPr>
    <w:rPr>
      <w:rFonts w:ascii="Helvetica" w:eastAsia="Times New Roman" w:hAnsi="Helvetica"/>
      <w:b/>
      <w:caps/>
      <w:sz w:val="20"/>
      <w:szCs w:val="20"/>
      <w:lang w:val="en-US"/>
    </w:rPr>
  </w:style>
  <w:style w:type="paragraph" w:customStyle="1" w:styleId="AckText">
    <w:name w:val="Ack Text"/>
    <w:basedOn w:val="Normal"/>
    <w:rsid w:val="00770740"/>
    <w:pPr>
      <w:spacing w:after="0" w:line="220" w:lineRule="exact"/>
      <w:jc w:val="both"/>
    </w:pPr>
    <w:rPr>
      <w:rFonts w:ascii="Times New Roman" w:eastAsia="Times New Roman" w:hAnsi="Times New Roman"/>
      <w:sz w:val="18"/>
      <w:szCs w:val="20"/>
      <w:lang w:val="en-US"/>
    </w:rPr>
  </w:style>
  <w:style w:type="paragraph" w:customStyle="1" w:styleId="RefText">
    <w:name w:val="Ref Text"/>
    <w:rsid w:val="00770740"/>
    <w:pPr>
      <w:spacing w:line="180" w:lineRule="exact"/>
      <w:ind w:left="227" w:hanging="227"/>
      <w:jc w:val="both"/>
    </w:pPr>
    <w:rPr>
      <w:rFonts w:ascii="Times New Roman" w:eastAsia="Times New Roman" w:hAnsi="Times New Roman"/>
      <w:sz w:val="1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A9"/>
  </w:style>
  <w:style w:type="paragraph" w:styleId="Footer">
    <w:name w:val="footer"/>
    <w:basedOn w:val="Normal"/>
    <w:link w:val="FooterChar"/>
    <w:uiPriority w:val="99"/>
    <w:unhideWhenUsed/>
    <w:rsid w:val="00C15F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A9"/>
  </w:style>
  <w:style w:type="paragraph" w:styleId="ListParagraph">
    <w:name w:val="List Paragraph"/>
    <w:basedOn w:val="Normal"/>
    <w:uiPriority w:val="34"/>
    <w:qFormat/>
    <w:rsid w:val="005427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562A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fd902SZr507dGN50We5BiU7rOA==">CgMxLjA4AHIhMUl3U2ZXVmg4SjNOZzNZYXp0U3pMaWFNYlczUlZlVm9p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xmaga</dc:creator>
  <cp:lastModifiedBy>Yiota</cp:lastModifiedBy>
  <cp:revision>5</cp:revision>
  <dcterms:created xsi:type="dcterms:W3CDTF">2024-09-13T11:24:00Z</dcterms:created>
  <dcterms:modified xsi:type="dcterms:W3CDTF">2024-09-16T10:35:00Z</dcterms:modified>
</cp:coreProperties>
</file>