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DF272B" w14:paraId="3C684212" w14:textId="77777777" w:rsidTr="009C08C1">
        <w:trPr>
          <w:trHeight w:val="2097"/>
        </w:trPr>
        <w:tc>
          <w:tcPr>
            <w:tcW w:w="5000" w:type="pct"/>
          </w:tcPr>
          <w:p w14:paraId="014A499A" w14:textId="77777777" w:rsidR="009C08C1" w:rsidRPr="00DF272B" w:rsidRDefault="009C08C1" w:rsidP="009C08C1">
            <w:pPr>
              <w:spacing w:after="0" w:line="240" w:lineRule="auto"/>
            </w:pPr>
          </w:p>
          <w:p w14:paraId="19F6569D" w14:textId="24690093" w:rsidR="009C08C1" w:rsidRPr="009C08C1" w:rsidRDefault="00256C90" w:rsidP="00E12EC9">
            <w:pPr>
              <w:pStyle w:val="Articletitle"/>
              <w:spacing w:after="120" w:line="240" w:lineRule="auto"/>
              <w:ind w:left="2835"/>
              <w:rPr>
                <w:rFonts w:ascii="Arial" w:hAnsi="Arial" w:cs="Arial"/>
                <w:sz w:val="28"/>
                <w:szCs w:val="28"/>
              </w:rPr>
            </w:pPr>
            <w:r>
              <w:rPr>
                <w:rFonts w:ascii="Arial" w:hAnsi="Arial" w:cs="Arial"/>
                <w:noProof/>
                <w:sz w:val="28"/>
                <w:szCs w:val="28"/>
                <w:lang w:val="el-GR" w:eastAsia="el-GR"/>
              </w:rPr>
              <w:drawing>
                <wp:anchor distT="0" distB="0" distL="114300" distR="114300" simplePos="0" relativeHeight="251658240" behindDoc="1" locked="0" layoutInCell="1" allowOverlap="1" wp14:anchorId="60B524F8" wp14:editId="205818C2">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9328EB">
              <w:rPr>
                <w:rFonts w:ascii="Arial" w:hAnsi="Arial" w:cs="Arial"/>
                <w:sz w:val="28"/>
                <w:szCs w:val="28"/>
              </w:rPr>
              <w:t>P</w:t>
            </w:r>
            <w:r w:rsidR="009328EB" w:rsidRPr="009328EB">
              <w:rPr>
                <w:rFonts w:ascii="Arial" w:hAnsi="Arial" w:cs="Arial"/>
                <w:sz w:val="28"/>
                <w:szCs w:val="28"/>
              </w:rPr>
              <w:t>roteolytic processing of VE-cadherin during thrombin treatment</w:t>
            </w:r>
          </w:p>
          <w:p w14:paraId="1A658B52" w14:textId="4585F21B" w:rsidR="009C08C1" w:rsidRPr="00BE2E35" w:rsidRDefault="009328EB" w:rsidP="009C08C1">
            <w:pPr>
              <w:pStyle w:val="Authorname"/>
              <w:spacing w:before="0"/>
              <w:ind w:left="2835"/>
              <w:rPr>
                <w:rFonts w:ascii="Arial" w:hAnsi="Arial" w:cs="Arial"/>
                <w:sz w:val="24"/>
                <w:szCs w:val="24"/>
              </w:rPr>
            </w:pPr>
            <w:r w:rsidRPr="009328EB">
              <w:rPr>
                <w:rFonts w:ascii="Arial" w:hAnsi="Arial" w:cs="Arial"/>
                <w:b/>
                <w:sz w:val="24"/>
                <w:szCs w:val="24"/>
              </w:rPr>
              <w:t xml:space="preserve">Konstantina Tasioula </w:t>
            </w:r>
            <w:r w:rsidRPr="009328EB">
              <w:rPr>
                <w:rFonts w:ascii="Arial" w:hAnsi="Arial" w:cs="Arial"/>
                <w:bCs/>
                <w:sz w:val="24"/>
                <w:szCs w:val="24"/>
                <w:vertAlign w:val="superscript"/>
              </w:rPr>
              <w:t>1#</w:t>
            </w:r>
            <w:r w:rsidRPr="009328EB">
              <w:rPr>
                <w:rFonts w:ascii="Arial" w:hAnsi="Arial" w:cs="Arial"/>
                <w:bCs/>
                <w:sz w:val="24"/>
                <w:szCs w:val="24"/>
              </w:rPr>
              <w:t>,</w:t>
            </w:r>
            <w:r w:rsidRPr="009328EB">
              <w:rPr>
                <w:rFonts w:ascii="Arial" w:hAnsi="Arial" w:cs="Arial"/>
                <w:b/>
                <w:sz w:val="24"/>
                <w:szCs w:val="24"/>
              </w:rPr>
              <w:t xml:space="preserve"> Panagiotis Karras </w:t>
            </w:r>
            <w:r w:rsidRPr="00871C86">
              <w:rPr>
                <w:rFonts w:ascii="Arial" w:hAnsi="Arial" w:cs="Arial"/>
                <w:bCs/>
                <w:sz w:val="24"/>
                <w:szCs w:val="24"/>
                <w:vertAlign w:val="superscript"/>
              </w:rPr>
              <w:t>1</w:t>
            </w:r>
            <w:r w:rsidRPr="00871C86">
              <w:rPr>
                <w:rFonts w:ascii="Arial" w:hAnsi="Arial" w:cs="Arial"/>
                <w:bCs/>
                <w:sz w:val="24"/>
                <w:szCs w:val="24"/>
              </w:rPr>
              <w:t>,</w:t>
            </w:r>
            <w:r w:rsidRPr="00871C86">
              <w:rPr>
                <w:rFonts w:ascii="Arial" w:eastAsia="Calibri" w:hAnsi="Arial" w:cs="Arial"/>
                <w:bCs/>
                <w:iCs w:val="0"/>
                <w:sz w:val="24"/>
                <w:szCs w:val="24"/>
              </w:rPr>
              <w:t xml:space="preserve"> </w:t>
            </w:r>
            <w:r w:rsidRPr="009328EB">
              <w:rPr>
                <w:rFonts w:ascii="Arial" w:hAnsi="Arial" w:cs="Arial"/>
                <w:b/>
                <w:bCs/>
                <w:sz w:val="24"/>
                <w:szCs w:val="24"/>
              </w:rPr>
              <w:t xml:space="preserve">Violetta Maltabe </w:t>
            </w:r>
            <w:r w:rsidRPr="009328EB">
              <w:rPr>
                <w:rFonts w:ascii="Arial" w:hAnsi="Arial" w:cs="Arial"/>
                <w:bCs/>
                <w:sz w:val="24"/>
                <w:szCs w:val="24"/>
                <w:vertAlign w:val="superscript"/>
              </w:rPr>
              <w:t xml:space="preserve">1,2 </w:t>
            </w:r>
            <w:r w:rsidR="009C08C1" w:rsidRPr="00BE2E35">
              <w:rPr>
                <w:rFonts w:ascii="Arial" w:hAnsi="Arial" w:cs="Arial"/>
                <w:sz w:val="24"/>
                <w:szCs w:val="24"/>
              </w:rPr>
              <w:t xml:space="preserve">and </w:t>
            </w:r>
            <w:r w:rsidRPr="009328EB">
              <w:rPr>
                <w:rFonts w:ascii="Arial" w:hAnsi="Arial" w:cs="Arial"/>
                <w:b/>
                <w:bCs/>
                <w:sz w:val="24"/>
                <w:szCs w:val="24"/>
              </w:rPr>
              <w:t>Panos Kouklis</w:t>
            </w:r>
            <w:r w:rsidRPr="009328EB">
              <w:rPr>
                <w:rFonts w:ascii="Arial" w:hAnsi="Arial" w:cs="Arial"/>
                <w:b/>
                <w:sz w:val="24"/>
                <w:szCs w:val="24"/>
              </w:rPr>
              <w:t xml:space="preserve"> </w:t>
            </w:r>
            <w:r w:rsidRPr="009328EB">
              <w:rPr>
                <w:rFonts w:ascii="Arial" w:hAnsi="Arial" w:cs="Arial"/>
                <w:bCs/>
                <w:sz w:val="24"/>
                <w:szCs w:val="24"/>
                <w:vertAlign w:val="superscript"/>
              </w:rPr>
              <w:t>1,2 *</w:t>
            </w:r>
          </w:p>
          <w:p w14:paraId="449E964D" w14:textId="15EF12C6" w:rsidR="009C08C1" w:rsidRPr="009328EB"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1</w:t>
            </w:r>
            <w:r w:rsidR="009328EB" w:rsidRPr="009328EB">
              <w:rPr>
                <w:rFonts w:ascii="Arial" w:eastAsia="Calibri" w:hAnsi="Arial" w:cs="Arial"/>
                <w:iCs w:val="0"/>
                <w:sz w:val="18"/>
                <w:szCs w:val="18"/>
              </w:rPr>
              <w:t xml:space="preserve"> </w:t>
            </w:r>
            <w:r w:rsidR="009328EB" w:rsidRPr="009328EB">
              <w:rPr>
                <w:rFonts w:ascii="Arial" w:hAnsi="Arial" w:cs="Arial"/>
                <w:sz w:val="18"/>
                <w:szCs w:val="18"/>
              </w:rPr>
              <w:t>Laboratory of Biology, School of Medicine, University of Ioannina, Ioannina, Greece</w:t>
            </w:r>
          </w:p>
          <w:p w14:paraId="12F8F170" w14:textId="080BA9F4" w:rsidR="009C08C1" w:rsidRPr="009328EB"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9328EB">
              <w:rPr>
                <w:rFonts w:ascii="Arial" w:hAnsi="Arial" w:cs="Arial"/>
                <w:sz w:val="18"/>
                <w:szCs w:val="18"/>
                <w:vertAlign w:val="superscript"/>
              </w:rPr>
              <w:t xml:space="preserve"> </w:t>
            </w:r>
            <w:r w:rsidR="009328EB" w:rsidRPr="009328EB">
              <w:rPr>
                <w:rFonts w:ascii="Arial" w:hAnsi="Arial" w:cs="Arial"/>
                <w:sz w:val="18"/>
                <w:szCs w:val="18"/>
              </w:rPr>
              <w:t>Department of Biomedical Research, Institute of Molecular Biology &amp; Biotechnology, FORTH, University Campus, Ioannina, Greece</w:t>
            </w:r>
          </w:p>
          <w:p w14:paraId="73530F3B" w14:textId="2C1CA539" w:rsidR="009C08C1" w:rsidRPr="009328EB" w:rsidRDefault="009C08C1" w:rsidP="009328EB">
            <w:pPr>
              <w:pStyle w:val="a7"/>
              <w:spacing w:after="0" w:line="240" w:lineRule="auto"/>
              <w:ind w:left="2835"/>
              <w:rPr>
                <w:sz w:val="16"/>
                <w:szCs w:val="16"/>
                <w:lang w:val="en-US"/>
              </w:rPr>
            </w:pPr>
            <w:r w:rsidRPr="00BE2E35">
              <w:rPr>
                <w:sz w:val="16"/>
                <w:szCs w:val="16"/>
                <w:lang w:val="en-US"/>
              </w:rPr>
              <w:t xml:space="preserve"># Presenting author: </w:t>
            </w:r>
            <w:r w:rsidR="009328EB" w:rsidRPr="009328EB">
              <w:rPr>
                <w:sz w:val="16"/>
                <w:szCs w:val="16"/>
                <w:lang w:val="en-US"/>
              </w:rPr>
              <w:t>Konstantina Tasioula, email: k.tasioula@uoi.gr</w:t>
            </w:r>
          </w:p>
          <w:p w14:paraId="547C3774" w14:textId="6126FE89"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Corresponding author: </w:t>
            </w:r>
            <w:r w:rsidR="009328EB" w:rsidRPr="009328EB">
              <w:rPr>
                <w:sz w:val="16"/>
                <w:szCs w:val="16"/>
                <w:lang w:val="en-US"/>
              </w:rPr>
              <w:t xml:space="preserve"> Panos Kouklis, email: p.kouklis@uoi.gr</w:t>
            </w:r>
          </w:p>
        </w:tc>
      </w:tr>
    </w:tbl>
    <w:p w14:paraId="06BB79B8" w14:textId="77777777"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14:paraId="61393EC4"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458ADF7D" w14:textId="77777777" w:rsidR="009328EB" w:rsidRPr="009328EB" w:rsidRDefault="009328EB" w:rsidP="009328EB">
      <w:pPr>
        <w:pStyle w:val="AbstractText"/>
        <w:spacing w:after="120" w:line="240" w:lineRule="auto"/>
        <w:ind w:right="-23" w:firstLine="284"/>
        <w:rPr>
          <w:rFonts w:ascii="Arial" w:hAnsi="Arial" w:cs="Arial"/>
          <w:sz w:val="22"/>
          <w:szCs w:val="22"/>
        </w:rPr>
      </w:pPr>
      <w:r w:rsidRPr="009328EB">
        <w:rPr>
          <w:rFonts w:ascii="Arial" w:hAnsi="Arial" w:cs="Arial"/>
          <w:sz w:val="22"/>
          <w:szCs w:val="22"/>
        </w:rPr>
        <w:t xml:space="preserve">The role of ectodomain shedding in transmembrane proteins has been studied in basic cellular processes such as adhesion, transmigration, proliferation, and differentiation. Biological factors, such as inflammatory mediators, influence the endothelial permeability and induce the activation of proteases that cause ectodomain shedding in membrane proteins. This phenomenon has been observed in VE-cadherin, the major protein of endothelial adherens junctions, pivotal to endothelial permeability and barrier function. Recent studies associate shedding of membrane proteins with development of diseases (Blaise et al. 2015). </w:t>
      </w:r>
    </w:p>
    <w:p w14:paraId="7BACA7C2" w14:textId="0037997D" w:rsidR="009328EB" w:rsidRPr="009328EB" w:rsidRDefault="009328EB" w:rsidP="009328EB">
      <w:pPr>
        <w:pStyle w:val="AbstractText"/>
        <w:spacing w:after="120" w:line="240" w:lineRule="auto"/>
        <w:ind w:right="-23" w:firstLine="284"/>
        <w:rPr>
          <w:rFonts w:ascii="Arial" w:hAnsi="Arial" w:cs="Arial"/>
          <w:sz w:val="22"/>
          <w:szCs w:val="22"/>
        </w:rPr>
      </w:pPr>
      <w:r w:rsidRPr="009328EB">
        <w:rPr>
          <w:rFonts w:ascii="Arial" w:hAnsi="Arial" w:cs="Arial"/>
          <w:sz w:val="22"/>
          <w:szCs w:val="22"/>
        </w:rPr>
        <w:t>Our aim is the detection and the quantitation of soluble VE-cadherin caused by ectodomain shedding after endothelial cells treatment with thrombin, a pro-inflammatory factor. We analyzed the effect of thrombin: a) in VE-cadherin shedding in endothelial cells and b) in VE-cadherin’s cytoplasmic domain integrity. Both processes might modulate endothelial cell-cell adhesion and endothelial barrier function (Minami, Sugiyama et al. 2004).</w:t>
      </w:r>
    </w:p>
    <w:p w14:paraId="6C29C482" w14:textId="70080A41" w:rsidR="006C69C9" w:rsidRPr="00BE281B" w:rsidRDefault="009328EB" w:rsidP="009328EB">
      <w:pPr>
        <w:pStyle w:val="AbstractText"/>
        <w:spacing w:after="120" w:line="240" w:lineRule="auto"/>
        <w:ind w:right="-23" w:firstLine="284"/>
        <w:rPr>
          <w:rFonts w:ascii="Arial" w:hAnsi="Arial" w:cs="Arial"/>
          <w:sz w:val="22"/>
          <w:szCs w:val="22"/>
        </w:rPr>
      </w:pPr>
      <w:r w:rsidRPr="009328EB">
        <w:rPr>
          <w:rFonts w:ascii="Arial" w:hAnsi="Arial" w:cs="Arial"/>
          <w:sz w:val="22"/>
          <w:szCs w:val="22"/>
        </w:rPr>
        <w:t>To study the role of VE- cadherin’s extracellular domain in cell adhesion, we produced monoclonal antibodies specifically to this region of human VE-cadherin. Using purified monoclonals we performed competition studies to identify epitopes involved in homophilic binding between VE-cadherin molecules. We identify functional monoclonals interfering with endothelial cell-cell adhesion.</w:t>
      </w:r>
      <w:r w:rsidR="009C68E4" w:rsidRPr="00BE281B">
        <w:rPr>
          <w:rFonts w:ascii="Arial" w:hAnsi="Arial" w:cs="Arial"/>
          <w:sz w:val="22"/>
          <w:szCs w:val="22"/>
        </w:rPr>
        <w:t xml:space="preserve"> </w:t>
      </w:r>
    </w:p>
    <w:p w14:paraId="1964B13B" w14:textId="77777777" w:rsidR="009C08C1" w:rsidRPr="00BE281B" w:rsidRDefault="009C08C1" w:rsidP="009C08C1">
      <w:pPr>
        <w:pStyle w:val="AbstractText"/>
        <w:spacing w:after="120" w:line="240" w:lineRule="auto"/>
        <w:ind w:right="-23" w:firstLine="284"/>
        <w:rPr>
          <w:rFonts w:ascii="Arial" w:hAnsi="Arial" w:cs="Arial"/>
          <w:sz w:val="22"/>
          <w:szCs w:val="22"/>
        </w:rPr>
      </w:pPr>
    </w:p>
    <w:p w14:paraId="46EFDD9B" w14:textId="77777777" w:rsidR="006C69C9" w:rsidRPr="00BE281B" w:rsidRDefault="00770740" w:rsidP="00041506">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1BBAFF6A" w14:textId="207BB5F4" w:rsidR="009328EB" w:rsidRPr="009328EB" w:rsidRDefault="00CF4DBC" w:rsidP="009328EB">
      <w:pPr>
        <w:pStyle w:val="RefText"/>
        <w:rPr>
          <w:rFonts w:ascii="Arial" w:hAnsi="Arial" w:cs="Arial"/>
          <w:sz w:val="16"/>
          <w:szCs w:val="16"/>
        </w:rPr>
      </w:pPr>
      <w:bookmarkStart w:id="0" w:name="_Hlk176947954"/>
      <w:r w:rsidRPr="006C69C9">
        <w:rPr>
          <w:rFonts w:ascii="Arial" w:hAnsi="Arial" w:cs="Arial"/>
          <w:sz w:val="16"/>
          <w:szCs w:val="16"/>
          <w:lang w:val="en-GB"/>
        </w:rPr>
        <w:t>[1]</w:t>
      </w:r>
      <w:r w:rsidR="009328EB" w:rsidRPr="009328EB">
        <w:rPr>
          <w:rFonts w:ascii="Arial" w:hAnsi="Arial" w:cs="Arial"/>
          <w:sz w:val="16"/>
          <w:szCs w:val="16"/>
        </w:rPr>
        <w:t xml:space="preserve"> Sophie Blaise1,2,3,4, Helena Polena2,3,4 and Isabelle Vilgrain2,3,4. (2015). </w:t>
      </w:r>
      <w:r w:rsidR="009328EB" w:rsidRPr="009328EB">
        <w:rPr>
          <w:rFonts w:ascii="Arial" w:hAnsi="Arial" w:cs="Arial"/>
          <w:i/>
          <w:iCs/>
          <w:sz w:val="16"/>
          <w:szCs w:val="16"/>
        </w:rPr>
        <w:t>Vascular Medicine.</w:t>
      </w:r>
      <w:r w:rsidR="009328EB" w:rsidRPr="009328EB">
        <w:rPr>
          <w:rFonts w:ascii="Arial" w:hAnsi="Arial" w:cs="Arial"/>
          <w:sz w:val="16"/>
          <w:szCs w:val="16"/>
        </w:rPr>
        <w:t xml:space="preserve"> </w:t>
      </w:r>
      <w:r w:rsidR="009328EB" w:rsidRPr="009328EB">
        <w:rPr>
          <w:rFonts w:ascii="Arial" w:hAnsi="Arial" w:cs="Arial"/>
          <w:b/>
          <w:bCs/>
          <w:sz w:val="16"/>
          <w:szCs w:val="16"/>
        </w:rPr>
        <w:t>20(6)</w:t>
      </w:r>
      <w:r w:rsidR="009328EB" w:rsidRPr="009328EB">
        <w:rPr>
          <w:rFonts w:ascii="Arial" w:hAnsi="Arial" w:cs="Arial"/>
          <w:sz w:val="16"/>
          <w:szCs w:val="16"/>
        </w:rPr>
        <w:t xml:space="preserve"> :557–565.</w:t>
      </w:r>
    </w:p>
    <w:bookmarkEnd w:id="0"/>
    <w:p w14:paraId="691609E4" w14:textId="3F385297" w:rsidR="009328EB" w:rsidRPr="00DF272B" w:rsidRDefault="009328EB" w:rsidP="009328EB">
      <w:pPr>
        <w:pStyle w:val="RefText"/>
        <w:ind w:left="0" w:right="-79" w:firstLine="0"/>
        <w:rPr>
          <w:rFonts w:ascii="Arial" w:hAnsi="Arial" w:cs="Arial"/>
          <w:sz w:val="16"/>
          <w:szCs w:val="16"/>
        </w:rPr>
      </w:pPr>
      <w:r w:rsidRPr="006C69C9">
        <w:rPr>
          <w:rFonts w:ascii="Arial" w:hAnsi="Arial" w:cs="Arial"/>
          <w:sz w:val="16"/>
          <w:szCs w:val="16"/>
          <w:lang w:val="en-GB"/>
        </w:rPr>
        <w:t>[</w:t>
      </w:r>
      <w:r>
        <w:rPr>
          <w:rFonts w:ascii="Arial" w:hAnsi="Arial" w:cs="Arial"/>
          <w:sz w:val="16"/>
          <w:szCs w:val="16"/>
          <w:lang w:val="en-GB"/>
        </w:rPr>
        <w:t>2</w:t>
      </w:r>
      <w:r w:rsidRPr="006C69C9">
        <w:rPr>
          <w:rFonts w:ascii="Arial" w:hAnsi="Arial" w:cs="Arial"/>
          <w:sz w:val="16"/>
          <w:szCs w:val="16"/>
          <w:lang w:val="en-GB"/>
        </w:rPr>
        <w:t xml:space="preserve">] </w:t>
      </w:r>
      <w:r w:rsidRPr="009328EB">
        <w:rPr>
          <w:rFonts w:ascii="Arial" w:hAnsi="Arial" w:cs="Arial"/>
          <w:sz w:val="16"/>
          <w:szCs w:val="16"/>
        </w:rPr>
        <w:t xml:space="preserve">Minami, T., A. Sugiyama, et al. (2004). </w:t>
      </w:r>
      <w:r w:rsidRPr="009328EB">
        <w:rPr>
          <w:rFonts w:ascii="Arial" w:hAnsi="Arial" w:cs="Arial"/>
          <w:i/>
          <w:iCs/>
          <w:sz w:val="16"/>
          <w:szCs w:val="16"/>
        </w:rPr>
        <w:t>Arterioscler Thromb Vasc</w:t>
      </w:r>
      <w:r w:rsidRPr="009328EB">
        <w:rPr>
          <w:rFonts w:ascii="Arial" w:hAnsi="Arial" w:cs="Arial"/>
          <w:sz w:val="16"/>
          <w:szCs w:val="16"/>
        </w:rPr>
        <w:t xml:space="preserve"> </w:t>
      </w:r>
      <w:r w:rsidRPr="009328EB">
        <w:rPr>
          <w:rFonts w:ascii="Arial" w:hAnsi="Arial" w:cs="Arial"/>
          <w:i/>
          <w:iCs/>
          <w:sz w:val="16"/>
          <w:szCs w:val="16"/>
        </w:rPr>
        <w:t>Biol.</w:t>
      </w:r>
      <w:r w:rsidRPr="009328EB">
        <w:rPr>
          <w:rFonts w:ascii="Arial" w:hAnsi="Arial" w:cs="Arial"/>
          <w:sz w:val="16"/>
          <w:szCs w:val="16"/>
        </w:rPr>
        <w:t xml:space="preserve"> </w:t>
      </w:r>
      <w:r w:rsidRPr="009328EB">
        <w:rPr>
          <w:rFonts w:ascii="Arial" w:hAnsi="Arial" w:cs="Arial"/>
          <w:b/>
          <w:bCs/>
          <w:sz w:val="16"/>
          <w:szCs w:val="16"/>
        </w:rPr>
        <w:t xml:space="preserve">24(1) </w:t>
      </w:r>
      <w:r w:rsidRPr="009328EB">
        <w:rPr>
          <w:rFonts w:ascii="Arial" w:hAnsi="Arial" w:cs="Arial"/>
          <w:sz w:val="16"/>
          <w:szCs w:val="16"/>
        </w:rPr>
        <w:t>41-53</w:t>
      </w:r>
      <w:r w:rsidR="00E12EC9" w:rsidRPr="00DF272B">
        <w:rPr>
          <w:rFonts w:ascii="Arial" w:hAnsi="Arial" w:cs="Arial"/>
          <w:sz w:val="16"/>
          <w:szCs w:val="16"/>
        </w:rPr>
        <w:t>.</w:t>
      </w:r>
    </w:p>
    <w:sectPr w:rsidR="009328EB" w:rsidRPr="00DF272B"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5CF0D" w14:textId="77777777" w:rsidR="00382C8A" w:rsidRDefault="00382C8A" w:rsidP="00C15FA9">
      <w:pPr>
        <w:spacing w:after="0" w:line="240" w:lineRule="auto"/>
      </w:pPr>
      <w:r>
        <w:separator/>
      </w:r>
    </w:p>
  </w:endnote>
  <w:endnote w:type="continuationSeparator" w:id="0">
    <w:p w14:paraId="436892DF" w14:textId="77777777" w:rsidR="00382C8A" w:rsidRDefault="00382C8A"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altName w:val="Arial"/>
    <w:charset w:val="01"/>
    <w:family w:val="roman"/>
    <w:pitch w:val="variable"/>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9CBEE"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859AD" w14:textId="77777777" w:rsidR="00382C8A" w:rsidRDefault="00382C8A" w:rsidP="00C15FA9">
      <w:pPr>
        <w:spacing w:after="0" w:line="240" w:lineRule="auto"/>
      </w:pPr>
      <w:r>
        <w:separator/>
      </w:r>
    </w:p>
  </w:footnote>
  <w:footnote w:type="continuationSeparator" w:id="0">
    <w:p w14:paraId="5BF1E7D5" w14:textId="77777777" w:rsidR="00382C8A" w:rsidRDefault="00382C8A"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75217483">
    <w:abstractNumId w:val="0"/>
  </w:num>
  <w:num w:numId="2" w16cid:durableId="635109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122BE4"/>
    <w:rsid w:val="00166E6F"/>
    <w:rsid w:val="00173A80"/>
    <w:rsid w:val="001A3DA4"/>
    <w:rsid w:val="001C0F59"/>
    <w:rsid w:val="001C581D"/>
    <w:rsid w:val="001D06ED"/>
    <w:rsid w:val="0021141D"/>
    <w:rsid w:val="00256C90"/>
    <w:rsid w:val="003036CD"/>
    <w:rsid w:val="00320F2A"/>
    <w:rsid w:val="003307BC"/>
    <w:rsid w:val="00382C8A"/>
    <w:rsid w:val="003A1848"/>
    <w:rsid w:val="003F432B"/>
    <w:rsid w:val="004151C5"/>
    <w:rsid w:val="004818A5"/>
    <w:rsid w:val="00491860"/>
    <w:rsid w:val="00492E05"/>
    <w:rsid w:val="004C5CF7"/>
    <w:rsid w:val="005035C3"/>
    <w:rsid w:val="005304BB"/>
    <w:rsid w:val="005427CA"/>
    <w:rsid w:val="005536A6"/>
    <w:rsid w:val="00557BE2"/>
    <w:rsid w:val="005A418E"/>
    <w:rsid w:val="00610622"/>
    <w:rsid w:val="0061458D"/>
    <w:rsid w:val="0062218B"/>
    <w:rsid w:val="00626E46"/>
    <w:rsid w:val="006348F1"/>
    <w:rsid w:val="0064052C"/>
    <w:rsid w:val="00681E3A"/>
    <w:rsid w:val="006A37A9"/>
    <w:rsid w:val="006A626D"/>
    <w:rsid w:val="006B303E"/>
    <w:rsid w:val="006C69C9"/>
    <w:rsid w:val="006E7D24"/>
    <w:rsid w:val="006F5C41"/>
    <w:rsid w:val="0070157B"/>
    <w:rsid w:val="007235C5"/>
    <w:rsid w:val="00730762"/>
    <w:rsid w:val="00740FF0"/>
    <w:rsid w:val="00750221"/>
    <w:rsid w:val="0076170F"/>
    <w:rsid w:val="00762D2A"/>
    <w:rsid w:val="00770740"/>
    <w:rsid w:val="007C3590"/>
    <w:rsid w:val="0084469F"/>
    <w:rsid w:val="00850765"/>
    <w:rsid w:val="00852B87"/>
    <w:rsid w:val="00871C86"/>
    <w:rsid w:val="008F2FBF"/>
    <w:rsid w:val="00916433"/>
    <w:rsid w:val="009164A1"/>
    <w:rsid w:val="00924FB8"/>
    <w:rsid w:val="009312C8"/>
    <w:rsid w:val="009328EB"/>
    <w:rsid w:val="00953403"/>
    <w:rsid w:val="009A7868"/>
    <w:rsid w:val="009C08C1"/>
    <w:rsid w:val="009C0F9D"/>
    <w:rsid w:val="009C68E4"/>
    <w:rsid w:val="00A15232"/>
    <w:rsid w:val="00A46AA9"/>
    <w:rsid w:val="00A51804"/>
    <w:rsid w:val="00A66A2B"/>
    <w:rsid w:val="00A67BC2"/>
    <w:rsid w:val="00A822E1"/>
    <w:rsid w:val="00A8623E"/>
    <w:rsid w:val="00AD6335"/>
    <w:rsid w:val="00B0538D"/>
    <w:rsid w:val="00B062DA"/>
    <w:rsid w:val="00B75F5D"/>
    <w:rsid w:val="00B933B7"/>
    <w:rsid w:val="00BA5AD9"/>
    <w:rsid w:val="00BE281B"/>
    <w:rsid w:val="00BE2E35"/>
    <w:rsid w:val="00BE57FF"/>
    <w:rsid w:val="00BF02B4"/>
    <w:rsid w:val="00C15FA9"/>
    <w:rsid w:val="00C320FC"/>
    <w:rsid w:val="00C606E3"/>
    <w:rsid w:val="00C70942"/>
    <w:rsid w:val="00C7355F"/>
    <w:rsid w:val="00CB340A"/>
    <w:rsid w:val="00CC7F3B"/>
    <w:rsid w:val="00CE0E22"/>
    <w:rsid w:val="00CF4DBC"/>
    <w:rsid w:val="00D31968"/>
    <w:rsid w:val="00DC447B"/>
    <w:rsid w:val="00DF272B"/>
    <w:rsid w:val="00E1027D"/>
    <w:rsid w:val="00E12EC9"/>
    <w:rsid w:val="00E61503"/>
    <w:rsid w:val="00E70819"/>
    <w:rsid w:val="00E9351D"/>
    <w:rsid w:val="00EB0C46"/>
    <w:rsid w:val="00EC0AC6"/>
    <w:rsid w:val="00EC14F3"/>
    <w:rsid w:val="00ED1B63"/>
    <w:rsid w:val="00F51ECC"/>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1EC4"/>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340</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9</cp:revision>
  <cp:lastPrinted>2022-05-16T10:24:00Z</cp:lastPrinted>
  <dcterms:created xsi:type="dcterms:W3CDTF">2024-08-06T08:11:00Z</dcterms:created>
  <dcterms:modified xsi:type="dcterms:W3CDTF">2024-09-11T11:51:00Z</dcterms:modified>
</cp:coreProperties>
</file>